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30" w:rsidRPr="000C1A30" w:rsidRDefault="000C1A30" w:rsidP="000C1A3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0C1A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для субъектов малого и среднего предпринимательства по возможности участия, в программе предоставления поручительств и </w:t>
      </w:r>
      <w:proofErr w:type="spellStart"/>
      <w:r w:rsidRPr="000C1A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микрозаймов</w:t>
      </w:r>
      <w:proofErr w:type="spellEnd"/>
      <w:r w:rsidRPr="000C1A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реализуемой НО «Гарантийный фонд для субъектов малого и среднего предпринимательства»</w:t>
      </w:r>
      <w:bookmarkEnd w:id="0"/>
      <w:r w:rsidRPr="000C1A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C1A30" w:rsidRPr="000C1A30" w:rsidRDefault="000C1A30" w:rsidP="000C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b/>
          <w:bCs/>
          <w:lang w:eastAsia="ru-RU"/>
        </w:rPr>
        <w:tab/>
        <w:t xml:space="preserve">1. </w:t>
      </w:r>
      <w:r w:rsidRPr="000C1A30">
        <w:rPr>
          <w:rFonts w:ascii="Georgia" w:eastAsia="Times New Roman" w:hAnsi="Georgia" w:cs="Times New Roman"/>
          <w:lang w:eastAsia="ru-RU"/>
        </w:rPr>
        <w:t>Предоставление поручительства Фонда субъектам малого и среднего предпринимательства — инструмент финансовой поддержки предпринимателей, которые не имеют достаточного залога для получения необходимой суммы кредита в банке.</w:t>
      </w:r>
    </w:p>
    <w:p w:rsidR="000C1A30" w:rsidRPr="000C1A30" w:rsidRDefault="000C1A30" w:rsidP="000C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lang w:eastAsia="ru-RU"/>
        </w:rPr>
        <w:tab/>
        <w:t>Чтобы воспользоваться данной формой финансовой поддержки необходимо обратиться в один из 21 банков-партнеров Фонда.</w:t>
      </w:r>
    </w:p>
    <w:p w:rsidR="000C1A30" w:rsidRPr="000C1A30" w:rsidRDefault="000C1A30" w:rsidP="000C1A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b/>
          <w:bCs/>
          <w:lang w:eastAsia="ru-RU"/>
        </w:rPr>
        <w:tab/>
        <w:t>Основные параметры предоставления поручительства:</w:t>
      </w:r>
      <w:r w:rsidRPr="000C1A3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C1A30" w:rsidRPr="000C1A30" w:rsidRDefault="000C1A30" w:rsidP="000C1A3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поручительство предоставляется только по основному долгу (без учета процентов, комиссий, расходов, понесенных Заемщиком в связи с исполнением кредитного договора, уплаты Заемщиком неустойки либо убытков, вызванных неисполнением или ненадлежащим исполнением Заемщиком обязательств по кредитному договору);</w:t>
      </w:r>
    </w:p>
    <w:p w:rsidR="000C1A30" w:rsidRPr="000C1A30" w:rsidRDefault="000C1A30" w:rsidP="000C1A3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Фонда является субсидиарной;</w:t>
      </w:r>
    </w:p>
    <w:p w:rsidR="000C1A30" w:rsidRPr="000C1A30" w:rsidRDefault="000C1A30" w:rsidP="000C1A3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предоставляет поручительство на сумму, не превышающую 70% от суммы обязательств Заемщика в части возврата фактически полученной суммы кредита;</w:t>
      </w:r>
    </w:p>
    <w:p w:rsidR="000C1A30" w:rsidRPr="000C1A30" w:rsidRDefault="000C1A30" w:rsidP="000C1A3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кредита в форме залога (любое движимое и недвижимое имущество, которое можно идентифицировать по персональным признакам - кадастровый номер, регистрационный номер и т.п.), принадлежащее на праве собственности Заемщику или третьим лицам, за исключением сельскохозяйственных животных и товаров в обороте) в размере не менее 30% от суммы своих обязательств в части возврата фактически полученной суммы кредита; не допускается предоставление в составе обеспечения имущества, уже являющегося предметом еще одного залога в обеспечение других требований (последующий залог имущества).</w:t>
      </w:r>
    </w:p>
    <w:p w:rsidR="000C1A30" w:rsidRPr="000C1A30" w:rsidRDefault="000C1A30" w:rsidP="000C1A3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предоставление залога имущества, которое приобретается в будущем за счет денежных средств, предоставленных по договорам финансирования на цели приобретения такого имущества, при этом размер обеспечения в форме залога имущества, приобретаемого в будущем за счет денежных средств должен составлять не менее 50% от суммы обязательств Заемщика в части возврата фактически полученной суммы кредита, а размер поручительства Фонда не должен превышать 50% от суммы обязательств Заемщика в части возврата фактически полученной суммы кредита.</w:t>
      </w:r>
    </w:p>
    <w:p w:rsidR="000C1A30" w:rsidRPr="000C1A30" w:rsidRDefault="000C1A30" w:rsidP="000C1A3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поручительства предусматривается на цели </w:t>
      </w:r>
      <w:r w:rsidRPr="000C1A30">
        <w:rPr>
          <w:rFonts w:ascii="Georgia" w:eastAsia="Times New Roman" w:hAnsi="Georgia" w:cs="Times New Roman"/>
          <w:lang w:eastAsia="ru-RU"/>
        </w:rPr>
        <w:t>рефинансирования/реструктурирования кредитов, получаемых с пониженной процентной ставкой и/или с увеличением срока возврата относительно действующего.</w:t>
      </w:r>
    </w:p>
    <w:p w:rsidR="000C1A30" w:rsidRPr="000C1A30" w:rsidRDefault="000C1A30" w:rsidP="000C1A3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поручительства 25 млн. рублей;</w:t>
      </w:r>
    </w:p>
    <w:p w:rsidR="000C1A30" w:rsidRPr="000C1A30" w:rsidRDefault="000C1A30" w:rsidP="000C1A3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предоставления поручительства - 10 лет; в рамках совместных продуктов с АО «МСП Банк» и АО «Корпорация «МСП» - 15 лет;</w:t>
      </w:r>
    </w:p>
    <w:p w:rsidR="000C1A30" w:rsidRPr="000C1A30" w:rsidRDefault="000C1A30" w:rsidP="000C1A3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заявки, по которой размер поручительства не превышает 5 млн. руб. - 3 рабочих дня; свыше 5 млн. руб. - 5 рабочих дней;</w:t>
      </w:r>
    </w:p>
    <w:p w:rsidR="000C1A30" w:rsidRPr="000C1A30" w:rsidRDefault="000C1A30" w:rsidP="000C1A3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поручительство предоставляется на возмездной основе. </w:t>
      </w:r>
    </w:p>
    <w:p w:rsidR="000C1A30" w:rsidRPr="000C1A30" w:rsidRDefault="000C1A30" w:rsidP="000C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lang w:eastAsia="ru-RU"/>
        </w:rPr>
        <w:lastRenderedPageBreak/>
        <w:t>Гарантийный фонд Оренбургской области активно взаимодействует с АО «МСП Банк» и АО «Корпорацией «МСП», посредством предоставления синдицированной гарантии (</w:t>
      </w:r>
      <w:proofErr w:type="spellStart"/>
      <w:r w:rsidRPr="000C1A30">
        <w:rPr>
          <w:rFonts w:ascii="Georgia" w:eastAsia="Times New Roman" w:hAnsi="Georgia" w:cs="Times New Roman"/>
          <w:lang w:eastAsia="ru-RU"/>
        </w:rPr>
        <w:t>согарантии</w:t>
      </w:r>
      <w:proofErr w:type="spellEnd"/>
      <w:r w:rsidRPr="000C1A30">
        <w:rPr>
          <w:rFonts w:ascii="Georgia" w:eastAsia="Times New Roman" w:hAnsi="Georgia" w:cs="Times New Roman"/>
          <w:lang w:eastAsia="ru-RU"/>
        </w:rPr>
        <w:t>), которая позволяет обеспечить исполнение обязательств СМСП.</w:t>
      </w:r>
    </w:p>
    <w:p w:rsidR="000C1A30" w:rsidRPr="000C1A30" w:rsidRDefault="000C1A30" w:rsidP="000C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lang w:eastAsia="ru-RU"/>
        </w:rPr>
        <w:t>По гарантийным продуктам Корпорации и Фонда совместно может обеспечиваться до 70% от суммы кредита.</w:t>
      </w:r>
    </w:p>
    <w:p w:rsidR="000C1A30" w:rsidRPr="000C1A30" w:rsidRDefault="000C1A30" w:rsidP="000C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b/>
          <w:bCs/>
          <w:lang w:eastAsia="ru-RU"/>
        </w:rPr>
        <w:t xml:space="preserve">2. </w:t>
      </w:r>
      <w:proofErr w:type="spellStart"/>
      <w:r w:rsidRPr="000C1A30">
        <w:rPr>
          <w:rFonts w:ascii="Georgia" w:eastAsia="Times New Roman" w:hAnsi="Georgia" w:cs="Times New Roman"/>
          <w:b/>
          <w:bCs/>
          <w:lang w:eastAsia="ru-RU"/>
        </w:rPr>
        <w:t>Микрозаймы</w:t>
      </w:r>
      <w:proofErr w:type="spellEnd"/>
      <w:r w:rsidRPr="000C1A30">
        <w:rPr>
          <w:rFonts w:ascii="Georgia" w:eastAsia="Times New Roman" w:hAnsi="Georgia" w:cs="Times New Roman"/>
          <w:b/>
          <w:bCs/>
          <w:lang w:eastAsia="ru-RU"/>
        </w:rPr>
        <w:t xml:space="preserve"> </w:t>
      </w:r>
      <w:r w:rsidRPr="000C1A30">
        <w:rPr>
          <w:rFonts w:ascii="Georgia" w:eastAsia="Times New Roman" w:hAnsi="Georgia" w:cs="Times New Roman"/>
          <w:lang w:eastAsia="ru-RU"/>
        </w:rPr>
        <w:t>предоставляются субъектам малого и среднего предпринимательства, в том числе индивидуальным предпринимателям без образования юридического лица, зарегистрированным в установленном порядке на территории Оренбургской области.</w:t>
      </w:r>
    </w:p>
    <w:p w:rsidR="000C1A30" w:rsidRPr="000C1A30" w:rsidRDefault="000C1A30" w:rsidP="000C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A30">
        <w:rPr>
          <w:rFonts w:ascii="Georgia" w:eastAsia="Times New Roman" w:hAnsi="Georgia" w:cs="Times New Roman"/>
          <w:lang w:eastAsia="ru-RU"/>
        </w:rPr>
        <w:t>Микрозайм</w:t>
      </w:r>
      <w:proofErr w:type="spellEnd"/>
      <w:r w:rsidRPr="000C1A30">
        <w:rPr>
          <w:rFonts w:ascii="Georgia" w:eastAsia="Times New Roman" w:hAnsi="Georgia" w:cs="Times New Roman"/>
          <w:lang w:eastAsia="ru-RU"/>
        </w:rPr>
        <w:t xml:space="preserve"> предоставляется в размере до 3 млн. рублей сроком до 36 месяцев включительно. Процентная ставка по займу устанавливается в размере 9 (Девять) процентов годовых.</w:t>
      </w:r>
    </w:p>
    <w:p w:rsidR="000C1A30" w:rsidRPr="000C1A30" w:rsidRDefault="000C1A30" w:rsidP="000C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lang w:eastAsia="ru-RU"/>
        </w:rPr>
        <w:t>Для получения консультации специалистов Гарантийного Фонда Оренбургской области обращайтесь в офис по адресу:</w:t>
      </w:r>
    </w:p>
    <w:p w:rsidR="000C1A30" w:rsidRPr="000C1A30" w:rsidRDefault="000C1A30" w:rsidP="000C1A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lang w:eastAsia="ru-RU"/>
        </w:rPr>
        <w:t>г. Оренбург, пер. Свободина, д.4, этаж 4, телефон: (3532) 77 -35-00,</w:t>
      </w:r>
    </w:p>
    <w:p w:rsidR="000C1A30" w:rsidRPr="000C1A30" w:rsidRDefault="000C1A30" w:rsidP="000C1A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lang w:eastAsia="ru-RU"/>
        </w:rPr>
        <w:t>г. Новотроицк, Кожемякин Юрий Александрович, телефон: 8 916-16-555-16</w:t>
      </w:r>
    </w:p>
    <w:p w:rsidR="000C1A30" w:rsidRPr="000C1A30" w:rsidRDefault="000C1A30" w:rsidP="000C1A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lang w:eastAsia="ru-RU"/>
        </w:rPr>
        <w:t>Сайт: </w:t>
      </w:r>
      <w:hyperlink r:id="rId5" w:tgtFrame="_blank" w:history="1">
        <w:r w:rsidRPr="000C1A30">
          <w:rPr>
            <w:rFonts w:ascii="Georgia" w:eastAsia="Times New Roman" w:hAnsi="Georgia" w:cs="Times New Roman"/>
            <w:color w:val="0000FF"/>
            <w:u w:val="single"/>
            <w:lang w:eastAsia="ru-RU"/>
          </w:rPr>
          <w:t>http://гфоо.рф </w:t>
        </w:r>
      </w:hyperlink>
      <w:r w:rsidRPr="000C1A3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C1A30" w:rsidRPr="000C1A30" w:rsidRDefault="00E34AD3" w:rsidP="000C1A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C1A30" w:rsidRDefault="000C1A30" w:rsidP="000C1A3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1A30" w:rsidRDefault="000C1A30" w:rsidP="000C1A3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1A30" w:rsidRDefault="000C1A30" w:rsidP="000C1A3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1A30" w:rsidRDefault="000C1A30" w:rsidP="000C1A3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1A30" w:rsidRDefault="000C1A30" w:rsidP="000C1A3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1A30" w:rsidRDefault="000C1A30" w:rsidP="000C1A3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1A30" w:rsidRDefault="000C1A30" w:rsidP="000C1A3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1A30" w:rsidRDefault="000C1A30" w:rsidP="000C1A3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1A30" w:rsidRDefault="000C1A30" w:rsidP="000C1A3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1A30" w:rsidRDefault="000C1A30" w:rsidP="000C1A3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1A30" w:rsidRPr="000C1A30" w:rsidRDefault="000C1A30" w:rsidP="000C1A3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57175" cy="257175"/>
            <wp:effectExtent l="19050" t="0" r="9525" b="0"/>
            <wp:docPr id="2" name="Рисунок 2" descr="http://area-sar.ru/templates/aig/images/postheader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ea-sar.ru/templates/aig/images/postheaderico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A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Программа стимулирования кредитования субъектов МСП </w:t>
      </w:r>
    </w:p>
    <w:p w:rsidR="000C1A30" w:rsidRPr="000C1A30" w:rsidRDefault="000C1A30" w:rsidP="00E34A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b/>
          <w:bCs/>
          <w:lang w:eastAsia="ru-RU"/>
        </w:rPr>
        <w:t>Уважаемые предприниматели!</w:t>
      </w:r>
    </w:p>
    <w:p w:rsidR="000C1A30" w:rsidRPr="000C1A30" w:rsidRDefault="000C1A30" w:rsidP="00E34A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lang w:eastAsia="ru-RU"/>
        </w:rPr>
        <w:tab/>
        <w:t>Одной из важнейших задач Корпорации МСП является обеспечение субъектов малого и среднего предпринимательства (МСП) доступными кредитными ресурсами.</w:t>
      </w:r>
    </w:p>
    <w:p w:rsidR="00E34AD3" w:rsidRDefault="000C1A30" w:rsidP="00E34A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lang w:eastAsia="ru-RU"/>
        </w:rPr>
        <w:tab/>
        <w:t>Совместно с Минэкономразвития России и Банком России Корпорация разработала </w:t>
      </w:r>
      <w:hyperlink r:id="rId7" w:tgtFrame="_blank" w:history="1">
        <w:r w:rsidRPr="000C1A30">
          <w:rPr>
            <w:rFonts w:ascii="Georgia" w:eastAsia="Times New Roman" w:hAnsi="Georgia" w:cs="Times New Roman"/>
            <w:color w:val="0000FF"/>
            <w:u w:val="single"/>
            <w:lang w:eastAsia="ru-RU"/>
          </w:rPr>
          <w:t>Программу стимулирования кредитования субъектов МСП</w:t>
        </w:r>
      </w:hyperlink>
      <w:r w:rsidRPr="000C1A30">
        <w:rPr>
          <w:rFonts w:ascii="Georgia" w:eastAsia="Times New Roman" w:hAnsi="Georgia" w:cs="Times New Roman"/>
          <w:lang w:eastAsia="ru-RU"/>
        </w:rPr>
        <w:t>, реализующих проекты в приоритетных отраслях, которая фиксирует процентную ставку по кредитам в сумме не менее 5 млн рублей для малых предприятий на уровне до 10,6% годовых, для средних предприятий – до 9,6% годовых.</w:t>
      </w:r>
    </w:p>
    <w:p w:rsidR="000C1A30" w:rsidRPr="000C1A30" w:rsidRDefault="000C1A30" w:rsidP="00E34A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lang w:eastAsia="ru-RU"/>
        </w:rPr>
        <w:t> </w:t>
      </w:r>
      <w:r w:rsidRPr="000C1A30">
        <w:rPr>
          <w:rFonts w:ascii="Georgia" w:eastAsia="Times New Roman" w:hAnsi="Georgia" w:cs="Times New Roman"/>
          <w:lang w:eastAsia="ru-RU"/>
        </w:rPr>
        <w:tab/>
        <w:t>Кредитные организации, предоставляющие финансирование предпринимателям по Программе получают возможность рефинансирования в Банке России по ставке 6,5% годовых, поэтому Программа получила второе название «Шесть с половиной».</w:t>
      </w:r>
    </w:p>
    <w:p w:rsidR="000C1A30" w:rsidRPr="000C1A30" w:rsidRDefault="000C1A30" w:rsidP="000C1A3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lang w:eastAsia="ru-RU"/>
        </w:rPr>
        <w:tab/>
        <w:t>В программе участвуют следующие уполномоченные банки:</w:t>
      </w:r>
    </w:p>
    <w:p w:rsidR="000C1A30" w:rsidRPr="000C1A30" w:rsidRDefault="000C1A30" w:rsidP="000C1A3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lang w:eastAsia="ru-RU"/>
        </w:rPr>
        <w:t>1. АО «Альфа-Банк»;</w:t>
      </w:r>
      <w:r w:rsidRPr="000C1A30">
        <w:rPr>
          <w:rFonts w:ascii="Georgia" w:eastAsia="Times New Roman" w:hAnsi="Georgia" w:cs="Times New Roman"/>
          <w:lang w:eastAsia="ru-RU"/>
        </w:rPr>
        <w:br/>
        <w:t>2. Банк ВТБ (ПАО);</w:t>
      </w:r>
      <w:r w:rsidRPr="000C1A30">
        <w:rPr>
          <w:rFonts w:ascii="Georgia" w:eastAsia="Times New Roman" w:hAnsi="Georgia" w:cs="Times New Roman"/>
          <w:lang w:eastAsia="ru-RU"/>
        </w:rPr>
        <w:br/>
        <w:t>3. ПАО Банк ЗЕНИТ;</w:t>
      </w:r>
      <w:r w:rsidRPr="000C1A30">
        <w:rPr>
          <w:rFonts w:ascii="Georgia" w:eastAsia="Times New Roman" w:hAnsi="Georgia" w:cs="Times New Roman"/>
          <w:lang w:eastAsia="ru-RU"/>
        </w:rPr>
        <w:br/>
        <w:t xml:space="preserve">4. АО «Банк </w:t>
      </w:r>
      <w:proofErr w:type="spellStart"/>
      <w:r w:rsidRPr="000C1A30">
        <w:rPr>
          <w:rFonts w:ascii="Georgia" w:eastAsia="Times New Roman" w:hAnsi="Georgia" w:cs="Times New Roman"/>
          <w:lang w:eastAsia="ru-RU"/>
        </w:rPr>
        <w:t>Интеза</w:t>
      </w:r>
      <w:proofErr w:type="spellEnd"/>
      <w:r w:rsidRPr="000C1A30">
        <w:rPr>
          <w:rFonts w:ascii="Georgia" w:eastAsia="Times New Roman" w:hAnsi="Georgia" w:cs="Times New Roman"/>
          <w:lang w:eastAsia="ru-RU"/>
        </w:rPr>
        <w:t>»;</w:t>
      </w:r>
      <w:r w:rsidRPr="000C1A30">
        <w:rPr>
          <w:rFonts w:ascii="Georgia" w:eastAsia="Times New Roman" w:hAnsi="Georgia" w:cs="Times New Roman"/>
          <w:lang w:eastAsia="ru-RU"/>
        </w:rPr>
        <w:br/>
        <w:t>5. ПАО «Банк «Санкт-Петербург»;</w:t>
      </w:r>
      <w:r w:rsidRPr="000C1A30">
        <w:rPr>
          <w:rFonts w:ascii="Georgia" w:eastAsia="Times New Roman" w:hAnsi="Georgia" w:cs="Times New Roman"/>
          <w:lang w:eastAsia="ru-RU"/>
        </w:rPr>
        <w:br/>
        <w:t>6. Банк «Возрождение» (ПАО);</w:t>
      </w:r>
      <w:r w:rsidRPr="000C1A30">
        <w:rPr>
          <w:rFonts w:ascii="Georgia" w:eastAsia="Times New Roman" w:hAnsi="Georgia" w:cs="Times New Roman"/>
          <w:lang w:eastAsia="ru-RU"/>
        </w:rPr>
        <w:br/>
        <w:t>7. ВТБ 24 (ПАО);</w:t>
      </w:r>
      <w:r w:rsidRPr="000C1A30">
        <w:rPr>
          <w:rFonts w:ascii="Georgia" w:eastAsia="Times New Roman" w:hAnsi="Georgia" w:cs="Times New Roman"/>
          <w:lang w:eastAsia="ru-RU"/>
        </w:rPr>
        <w:br/>
        <w:t>8. Банк ГПБ (АО);</w:t>
      </w:r>
      <w:r w:rsidRPr="000C1A30">
        <w:rPr>
          <w:rFonts w:ascii="Georgia" w:eastAsia="Times New Roman" w:hAnsi="Georgia" w:cs="Times New Roman"/>
          <w:lang w:eastAsia="ru-RU"/>
        </w:rPr>
        <w:br/>
        <w:t>9. ПАО «Запсибкомбанк»;</w:t>
      </w:r>
      <w:r w:rsidRPr="000C1A30">
        <w:rPr>
          <w:rFonts w:ascii="Georgia" w:eastAsia="Times New Roman" w:hAnsi="Georgia" w:cs="Times New Roman"/>
          <w:lang w:eastAsia="ru-RU"/>
        </w:rPr>
        <w:br/>
        <w:t>10. КБ «Кубань Кредит»;</w:t>
      </w:r>
      <w:r w:rsidRPr="000C1A30">
        <w:rPr>
          <w:rFonts w:ascii="Georgia" w:eastAsia="Times New Roman" w:hAnsi="Georgia" w:cs="Times New Roman"/>
          <w:lang w:eastAsia="ru-RU"/>
        </w:rPr>
        <w:br/>
        <w:t>11. ПАО «НБД-Банк»;</w:t>
      </w:r>
      <w:r w:rsidRPr="000C1A30">
        <w:rPr>
          <w:rFonts w:ascii="Georgia" w:eastAsia="Times New Roman" w:hAnsi="Georgia" w:cs="Times New Roman"/>
          <w:lang w:eastAsia="ru-RU"/>
        </w:rPr>
        <w:br/>
        <w:t>12. РНКБ (ПАО);</w:t>
      </w:r>
      <w:r w:rsidRPr="000C1A30">
        <w:rPr>
          <w:rFonts w:ascii="Georgia" w:eastAsia="Times New Roman" w:hAnsi="Georgia" w:cs="Times New Roman"/>
          <w:lang w:eastAsia="ru-RU"/>
        </w:rPr>
        <w:br/>
        <w:t>13. АО «</w:t>
      </w:r>
      <w:proofErr w:type="spellStart"/>
      <w:r w:rsidRPr="000C1A30">
        <w:rPr>
          <w:rFonts w:ascii="Georgia" w:eastAsia="Times New Roman" w:hAnsi="Georgia" w:cs="Times New Roman"/>
          <w:lang w:eastAsia="ru-RU"/>
        </w:rPr>
        <w:t>Россельхозбанк</w:t>
      </w:r>
      <w:proofErr w:type="spellEnd"/>
      <w:r w:rsidRPr="000C1A30">
        <w:rPr>
          <w:rFonts w:ascii="Georgia" w:eastAsia="Times New Roman" w:hAnsi="Georgia" w:cs="Times New Roman"/>
          <w:lang w:eastAsia="ru-RU"/>
        </w:rPr>
        <w:t>»;</w:t>
      </w:r>
      <w:r w:rsidRPr="000C1A30">
        <w:rPr>
          <w:rFonts w:ascii="Georgia" w:eastAsia="Times New Roman" w:hAnsi="Georgia" w:cs="Times New Roman"/>
          <w:lang w:eastAsia="ru-RU"/>
        </w:rPr>
        <w:br/>
        <w:t>14. ТКБ БАНК ПАО;</w:t>
      </w:r>
      <w:r w:rsidRPr="000C1A30">
        <w:rPr>
          <w:rFonts w:ascii="Georgia" w:eastAsia="Times New Roman" w:hAnsi="Georgia" w:cs="Times New Roman"/>
          <w:lang w:eastAsia="ru-RU"/>
        </w:rPr>
        <w:br/>
        <w:t>15. АО «</w:t>
      </w:r>
      <w:proofErr w:type="spellStart"/>
      <w:r w:rsidRPr="000C1A30">
        <w:rPr>
          <w:rFonts w:ascii="Georgia" w:eastAsia="Times New Roman" w:hAnsi="Georgia" w:cs="Times New Roman"/>
          <w:lang w:eastAsia="ru-RU"/>
        </w:rPr>
        <w:t>ЮниКредит</w:t>
      </w:r>
      <w:proofErr w:type="spellEnd"/>
      <w:r w:rsidRPr="000C1A30">
        <w:rPr>
          <w:rFonts w:ascii="Georgia" w:eastAsia="Times New Roman" w:hAnsi="Georgia" w:cs="Times New Roman"/>
          <w:lang w:eastAsia="ru-RU"/>
        </w:rPr>
        <w:t xml:space="preserve"> Банк»;</w:t>
      </w:r>
      <w:r w:rsidRPr="000C1A30">
        <w:rPr>
          <w:rFonts w:ascii="Georgia" w:eastAsia="Times New Roman" w:hAnsi="Georgia" w:cs="Times New Roman"/>
          <w:lang w:eastAsia="ru-RU"/>
        </w:rPr>
        <w:br/>
        <w:t>16. ПАО «СКБ-банк»;</w:t>
      </w:r>
      <w:r w:rsidRPr="000C1A30">
        <w:rPr>
          <w:rFonts w:ascii="Georgia" w:eastAsia="Times New Roman" w:hAnsi="Georgia" w:cs="Times New Roman"/>
          <w:lang w:eastAsia="ru-RU"/>
        </w:rPr>
        <w:br/>
        <w:t>17. Банк «Левобережный» (ПАО);</w:t>
      </w:r>
      <w:r w:rsidRPr="000C1A30">
        <w:rPr>
          <w:rFonts w:ascii="Georgia" w:eastAsia="Times New Roman" w:hAnsi="Georgia" w:cs="Times New Roman"/>
          <w:lang w:eastAsia="ru-RU"/>
        </w:rPr>
        <w:br/>
        <w:t>18. «СИБСОЦБАНК» ООО;</w:t>
      </w:r>
      <w:r w:rsidRPr="000C1A30">
        <w:rPr>
          <w:rFonts w:ascii="Georgia" w:eastAsia="Times New Roman" w:hAnsi="Georgia" w:cs="Times New Roman"/>
          <w:lang w:eastAsia="ru-RU"/>
        </w:rPr>
        <w:br/>
        <w:t>19. ПАО Банк «Кузнецкий»;</w:t>
      </w:r>
      <w:r w:rsidRPr="000C1A30">
        <w:rPr>
          <w:rFonts w:ascii="Georgia" w:eastAsia="Times New Roman" w:hAnsi="Georgia" w:cs="Times New Roman"/>
          <w:lang w:eastAsia="ru-RU"/>
        </w:rPr>
        <w:br/>
        <w:t>20. ПАО Банк «ФК Открытие»;</w:t>
      </w:r>
      <w:r w:rsidRPr="000C1A30">
        <w:rPr>
          <w:rFonts w:ascii="Georgia" w:eastAsia="Times New Roman" w:hAnsi="Georgia" w:cs="Times New Roman"/>
          <w:lang w:eastAsia="ru-RU"/>
        </w:rPr>
        <w:br/>
        <w:t>21. ПАО Сбербанк;</w:t>
      </w:r>
      <w:r w:rsidRPr="000C1A30">
        <w:rPr>
          <w:rFonts w:ascii="Georgia" w:eastAsia="Times New Roman" w:hAnsi="Georgia" w:cs="Times New Roman"/>
          <w:lang w:eastAsia="ru-RU"/>
        </w:rPr>
        <w:br/>
        <w:t>22. ПАО «Промсвязьбанк»;</w:t>
      </w:r>
      <w:r w:rsidRPr="000C1A30">
        <w:rPr>
          <w:rFonts w:ascii="Georgia" w:eastAsia="Times New Roman" w:hAnsi="Georgia" w:cs="Times New Roman"/>
          <w:lang w:eastAsia="ru-RU"/>
        </w:rPr>
        <w:br/>
        <w:t>23. АКБ «</w:t>
      </w:r>
      <w:proofErr w:type="spellStart"/>
      <w:r w:rsidRPr="000C1A30">
        <w:rPr>
          <w:rFonts w:ascii="Georgia" w:eastAsia="Times New Roman" w:hAnsi="Georgia" w:cs="Times New Roman"/>
          <w:lang w:eastAsia="ru-RU"/>
        </w:rPr>
        <w:t>Алмазэргиэнбанк</w:t>
      </w:r>
      <w:proofErr w:type="spellEnd"/>
      <w:r w:rsidRPr="000C1A30">
        <w:rPr>
          <w:rFonts w:ascii="Georgia" w:eastAsia="Times New Roman" w:hAnsi="Georgia" w:cs="Times New Roman"/>
          <w:lang w:eastAsia="ru-RU"/>
        </w:rPr>
        <w:t>» АО;</w:t>
      </w:r>
      <w:r w:rsidRPr="000C1A30">
        <w:rPr>
          <w:rFonts w:ascii="Georgia" w:eastAsia="Times New Roman" w:hAnsi="Georgia" w:cs="Times New Roman"/>
          <w:lang w:eastAsia="ru-RU"/>
        </w:rPr>
        <w:br/>
        <w:t>24. АО «Райффайзенбанк»;</w:t>
      </w:r>
      <w:r w:rsidRPr="000C1A30">
        <w:rPr>
          <w:rFonts w:ascii="Georgia" w:eastAsia="Times New Roman" w:hAnsi="Georgia" w:cs="Times New Roman"/>
          <w:lang w:eastAsia="ru-RU"/>
        </w:rPr>
        <w:br/>
        <w:t>25. ПАО Росбанк;</w:t>
      </w:r>
      <w:r w:rsidRPr="000C1A30">
        <w:rPr>
          <w:rFonts w:ascii="Georgia" w:eastAsia="Times New Roman" w:hAnsi="Georgia" w:cs="Times New Roman"/>
          <w:lang w:eastAsia="ru-RU"/>
        </w:rPr>
        <w:br/>
        <w:t>26. АКБ «ЭНЕРГОБАНК» (ПАО);</w:t>
      </w:r>
      <w:r w:rsidRPr="000C1A30">
        <w:rPr>
          <w:rFonts w:ascii="Georgia" w:eastAsia="Times New Roman" w:hAnsi="Georgia" w:cs="Times New Roman"/>
          <w:lang w:eastAsia="ru-RU"/>
        </w:rPr>
        <w:br/>
        <w:t>27. ООО КБЭР «Банк Казани»;</w:t>
      </w:r>
      <w:r w:rsidRPr="000C1A30">
        <w:rPr>
          <w:rFonts w:ascii="Georgia" w:eastAsia="Times New Roman" w:hAnsi="Georgia" w:cs="Times New Roman"/>
          <w:lang w:eastAsia="ru-RU"/>
        </w:rPr>
        <w:br/>
        <w:t>28. ООО «</w:t>
      </w:r>
      <w:proofErr w:type="spellStart"/>
      <w:r w:rsidRPr="000C1A30">
        <w:rPr>
          <w:rFonts w:ascii="Georgia" w:eastAsia="Times New Roman" w:hAnsi="Georgia" w:cs="Times New Roman"/>
          <w:lang w:eastAsia="ru-RU"/>
        </w:rPr>
        <w:t>Камкомбанк</w:t>
      </w:r>
      <w:proofErr w:type="spellEnd"/>
      <w:r w:rsidRPr="000C1A30">
        <w:rPr>
          <w:rFonts w:ascii="Georgia" w:eastAsia="Times New Roman" w:hAnsi="Georgia" w:cs="Times New Roman"/>
          <w:lang w:eastAsia="ru-RU"/>
        </w:rPr>
        <w:t>»;</w:t>
      </w:r>
      <w:r w:rsidRPr="000C1A30">
        <w:rPr>
          <w:rFonts w:ascii="Georgia" w:eastAsia="Times New Roman" w:hAnsi="Georgia" w:cs="Times New Roman"/>
          <w:lang w:eastAsia="ru-RU"/>
        </w:rPr>
        <w:br/>
        <w:t>29. «АКБ «Спурт» (ПАО);</w:t>
      </w:r>
      <w:r w:rsidRPr="000C1A30">
        <w:rPr>
          <w:rFonts w:ascii="Georgia" w:eastAsia="Times New Roman" w:hAnsi="Georgia" w:cs="Times New Roman"/>
          <w:lang w:eastAsia="ru-RU"/>
        </w:rPr>
        <w:br/>
        <w:t>30. ПАО «НИКО-БАНК»;</w:t>
      </w:r>
      <w:r w:rsidRPr="000C1A30">
        <w:rPr>
          <w:rFonts w:ascii="Georgia" w:eastAsia="Times New Roman" w:hAnsi="Georgia" w:cs="Times New Roman"/>
          <w:lang w:eastAsia="ru-RU"/>
        </w:rPr>
        <w:br/>
        <w:t>31. ПАО АКБ «Урал ФД»;</w:t>
      </w:r>
      <w:r w:rsidRPr="000C1A30">
        <w:rPr>
          <w:rFonts w:ascii="Georgia" w:eastAsia="Times New Roman" w:hAnsi="Georgia" w:cs="Times New Roman"/>
          <w:lang w:eastAsia="ru-RU"/>
        </w:rPr>
        <w:br/>
        <w:t>32. АО «МСП Банк».</w:t>
      </w:r>
    </w:p>
    <w:p w:rsidR="000C1A30" w:rsidRPr="000C1A30" w:rsidRDefault="000C1A30" w:rsidP="000C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lang w:eastAsia="ru-RU"/>
        </w:rPr>
        <w:tab/>
        <w:t> </w:t>
      </w:r>
      <w:hyperlink r:id="rId8" w:tgtFrame="_blank" w:history="1">
        <w:r w:rsidRPr="000C1A30">
          <w:rPr>
            <w:rFonts w:ascii="Georgia" w:eastAsia="Times New Roman" w:hAnsi="Georgia" w:cs="Times New Roman"/>
            <w:color w:val="0000FF"/>
            <w:u w:val="single"/>
            <w:lang w:eastAsia="ru-RU"/>
          </w:rPr>
          <w:t>Первый кредит</w:t>
        </w:r>
      </w:hyperlink>
      <w:r w:rsidRPr="000C1A30">
        <w:rPr>
          <w:rFonts w:ascii="Georgia" w:eastAsia="Times New Roman" w:hAnsi="Georgia" w:cs="Times New Roman"/>
          <w:lang w:eastAsia="ru-RU"/>
        </w:rPr>
        <w:t> в рамках Программы был предоставлен в конце 2015 года.</w:t>
      </w:r>
    </w:p>
    <w:p w:rsidR="000C1A30" w:rsidRPr="000C1A30" w:rsidRDefault="000C1A30" w:rsidP="000C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lang w:eastAsia="ru-RU"/>
        </w:rPr>
        <w:tab/>
        <w:t>Уполномоченные банки активно формируют реестры сделок, участниками которых являются субъекты МСП, реализующие проекты, соответствующие условиям и требования Программы.</w:t>
      </w:r>
      <w:r w:rsidRPr="000C1A3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C1A30" w:rsidRPr="000C1A30" w:rsidRDefault="000C1A30" w:rsidP="000C1A3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1A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Уважаемые представители малого и среднего бизнеса! </w:t>
      </w:r>
    </w:p>
    <w:p w:rsidR="000C1A30" w:rsidRPr="000C1A30" w:rsidRDefault="000C1A30" w:rsidP="00E34A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ab/>
        <w:t>Сообщаем, что на базе Некоммерческой организации «Гарантийный фонд для субъектов малого и среднего предпринимательства Оренбургской области (</w:t>
      </w:r>
      <w:proofErr w:type="spellStart"/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>микрокредитная</w:t>
      </w:r>
      <w:proofErr w:type="spellEnd"/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компания)» открылся Центр поддержки предпринимательства, задачами которого являются:</w:t>
      </w:r>
    </w:p>
    <w:p w:rsidR="000C1A30" w:rsidRPr="000C1A30" w:rsidRDefault="000C1A30" w:rsidP="00E34A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>- оказание комплексной консультационной и образовательной поддержки начинающим и действующим предпринимателям;</w:t>
      </w:r>
    </w:p>
    <w:p w:rsidR="00E34AD3" w:rsidRDefault="000C1A30" w:rsidP="00E34A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>- повышение уровня грамотности и предпринимательских компетенций СМСП и т.д.</w:t>
      </w:r>
    </w:p>
    <w:p w:rsidR="000C1A30" w:rsidRPr="000C1A30" w:rsidRDefault="000C1A30" w:rsidP="00E34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>Информируем Вас о начале работы в Оренбургской области федеральных образовательных бесплатных проектов «Азбука предпринимателя» и «Школа предпринимательства». Предлагаем рассмотреть возможность участия в обучении лиц, желающих заняться предпринимательской деятельностью.</w:t>
      </w:r>
    </w:p>
    <w:p w:rsidR="000C1A30" w:rsidRPr="000C1A30" w:rsidRDefault="000C1A30" w:rsidP="00E34A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ab/>
        <w:t>Тренинги проводятся сертифицированным тренером АО «Корпорация МСП». Обучение проходит пять дней. В период с 21 по 25 августа 2017 года состоится первый тренинг «Азбука предпринимателя».</w:t>
      </w:r>
    </w:p>
    <w:p w:rsidR="000C1A30" w:rsidRPr="000C1A30" w:rsidRDefault="000C1A30" w:rsidP="00E34A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ab/>
        <w:t>Тренинг «Азбука предпринимателя» предназначен для людей, которые хотят начать свой бизнес или реализовать новый бизнес-проект. В рамках тренинга рассматриваются шаги, которые необходимо предпринять при создании бизнеса с момента формирования бизнес-идеи до регистрации предприятия. Результатом выполнения этих шагов является разработка бизнес- плана предприятия. Особенностью программы тренинга «Азбука предпринимателя» является получение слушателями практических инструментов для создания бизнеса. По завершению тренинга участники получат навыки и знания: </w:t>
      </w:r>
    </w:p>
    <w:p w:rsidR="000C1A30" w:rsidRPr="000C1A30" w:rsidRDefault="000C1A30" w:rsidP="000C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>-          по оценке своей бизнес-идеи;</w:t>
      </w:r>
    </w:p>
    <w:p w:rsidR="000C1A30" w:rsidRPr="000C1A30" w:rsidRDefault="000C1A30" w:rsidP="000C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>-          по разработке бизнес-плана;</w:t>
      </w:r>
    </w:p>
    <w:p w:rsidR="000C1A30" w:rsidRPr="000C1A30" w:rsidRDefault="000C1A30" w:rsidP="000C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>-          по определению формы бизнеса;</w:t>
      </w:r>
    </w:p>
    <w:p w:rsidR="000C1A30" w:rsidRPr="000C1A30" w:rsidRDefault="000C1A30" w:rsidP="000C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>-          о процедуре регистрации бизнеса;</w:t>
      </w:r>
    </w:p>
    <w:p w:rsidR="000C1A30" w:rsidRPr="000C1A30" w:rsidRDefault="000C1A30" w:rsidP="000C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>-          об источниках финансирования;</w:t>
      </w:r>
    </w:p>
    <w:p w:rsidR="000C1A30" w:rsidRPr="000C1A30" w:rsidRDefault="000C1A30" w:rsidP="000C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>-          о существующих мерах поддержки субъектов МСП.</w:t>
      </w:r>
    </w:p>
    <w:p w:rsidR="000C1A30" w:rsidRPr="000C1A30" w:rsidRDefault="000C1A30" w:rsidP="000C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ab/>
        <w:t xml:space="preserve">Желающие принять участие в тренинге могут направить заявку на электронный адрес руководителя Центра поддержки предпринимательства Батуриной Елены </w:t>
      </w:r>
      <w:proofErr w:type="gramStart"/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>Геннадьевны: </w:t>
      </w:r>
      <w:r w:rsidRPr="000C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0C1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e_baturina@mail.ru</w:t>
        </w:r>
        <w:proofErr w:type="gramEnd"/>
      </w:hyperlink>
    </w:p>
    <w:p w:rsidR="000C1A30" w:rsidRPr="000C1A30" w:rsidRDefault="000C1A30" w:rsidP="000C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>Приложения:</w:t>
      </w:r>
    </w:p>
    <w:p w:rsidR="000C1A30" w:rsidRPr="000C1A30" w:rsidRDefault="000C1A30" w:rsidP="000C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>1.         </w:t>
      </w:r>
      <w:hyperlink r:id="rId10" w:tgtFrame="_blank" w:history="1">
        <w:r w:rsidRPr="000C1A3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0C1A30" w:rsidRPr="000C1A30" w:rsidRDefault="000C1A30" w:rsidP="000C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>2.         </w:t>
      </w:r>
      <w:hyperlink r:id="rId11" w:tgtFrame="_blank" w:history="1">
        <w:r w:rsidRPr="000C1A3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План тренингов</w:t>
        </w:r>
      </w:hyperlink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0C1A30" w:rsidRPr="000C1A30" w:rsidRDefault="000C1A30" w:rsidP="000C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>3.         </w:t>
      </w:r>
      <w:hyperlink r:id="rId12" w:tgtFrame="_blank" w:history="1">
        <w:r w:rsidRPr="000C1A3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Объявления</w:t>
        </w:r>
      </w:hyperlink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0C1A30" w:rsidRPr="000C1A30" w:rsidRDefault="000C1A30" w:rsidP="000C1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30">
        <w:rPr>
          <w:rFonts w:ascii="Georgia" w:eastAsia="Times New Roman" w:hAnsi="Georgia" w:cs="Times New Roman"/>
          <w:sz w:val="24"/>
          <w:szCs w:val="24"/>
          <w:lang w:eastAsia="ru-RU"/>
        </w:rPr>
        <w:t>4.         Формы для заявки.</w:t>
      </w:r>
    </w:p>
    <w:p w:rsidR="000C1A30" w:rsidRDefault="000C1A30"/>
    <w:sectPr w:rsidR="000C1A30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22164"/>
    <w:multiLevelType w:val="multilevel"/>
    <w:tmpl w:val="97C0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30"/>
    <w:rsid w:val="000C1A30"/>
    <w:rsid w:val="00315C18"/>
    <w:rsid w:val="00AD2B8E"/>
    <w:rsid w:val="00CE331B"/>
    <w:rsid w:val="00E3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7EF91-6103-4911-9315-E368AA61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18"/>
  </w:style>
  <w:style w:type="paragraph" w:styleId="2">
    <w:name w:val="heading 2"/>
    <w:basedOn w:val="a"/>
    <w:link w:val="20"/>
    <w:uiPriority w:val="9"/>
    <w:qFormat/>
    <w:rsid w:val="000C1A3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1A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C1A30"/>
    <w:rPr>
      <w:b/>
      <w:bCs/>
    </w:rPr>
  </w:style>
  <w:style w:type="character" w:customStyle="1" w:styleId="apple-tab-span">
    <w:name w:val="apple-tab-span"/>
    <w:basedOn w:val="a0"/>
    <w:rsid w:val="000C1A30"/>
  </w:style>
  <w:style w:type="character" w:styleId="a4">
    <w:name w:val="Hyperlink"/>
    <w:basedOn w:val="a0"/>
    <w:uiPriority w:val="99"/>
    <w:semiHidden/>
    <w:unhideWhenUsed/>
    <w:rsid w:val="000C1A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1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msp.ru/pres_slujba/news/korporatsiya_msp_sovmestno_s_bankom_vtb_rasshiryaet_dostupnost_kreditnykh_resursov_dlya_rossiyskikh_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rpmsp.ru/upload/iblock/%D0%9F%D1%80%D0%BE%D0%B3%D1%80%D0%B0%D0%BC%D0%BC%D0%B0%206,5%20%D0%BE%D1%82%2008.02.2017.pdf" TargetMode="External"/><Relationship Id="rId12" Type="http://schemas.openxmlformats.org/officeDocument/2006/relationships/hyperlink" Target="http://area-sar.ru/images/stories/makroekonom/&#1086;&#1073;&#1098;&#1103;&#1074;&#1083;&#1077;&#1085;&#1080;&#1103;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rea-sar.ru/images/stories/makroekonom/%D0%BF%D0%BB%D0%B0%D0%BD%20%D0%A2%D1%80%D0%B5%D0%BD%D0%B8%D0%BD%D0%B3%D0%BE%D0%B2.docx" TargetMode="External"/><Relationship Id="rId5" Type="http://schemas.openxmlformats.org/officeDocument/2006/relationships/hyperlink" Target="http://xn--c1awaw.xn--p1ai/" TargetMode="External"/><Relationship Id="rId10" Type="http://schemas.openxmlformats.org/officeDocument/2006/relationships/hyperlink" Target="http://area-sar.ru/images/stories/makroekonom/%D0%9F%D1%80%D0%B5%D0%B7%D0%B5%D0%BD%D1%82%D0%B0%D1%86%D0%B8%D1%8F%20%D0%A6%D0%9F%D0%9F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_baturin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7305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2017-11-02T08:08:00Z</dcterms:created>
  <dcterms:modified xsi:type="dcterms:W3CDTF">2017-11-02T08:08:00Z</dcterms:modified>
</cp:coreProperties>
</file>