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Pr="00AA0DD3" w:rsidRDefault="00875796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785" cy="76073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Pr="00AA0DD3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0C1624" w:rsidP="00686732">
      <w:pPr>
        <w:ind w:right="-284"/>
        <w:rPr>
          <w:sz w:val="28"/>
        </w:rPr>
      </w:pPr>
      <w:r>
        <w:rPr>
          <w:sz w:val="28"/>
        </w:rPr>
        <w:t>20</w:t>
      </w:r>
      <w:r w:rsidR="002F3AB8">
        <w:rPr>
          <w:sz w:val="28"/>
        </w:rPr>
        <w:t>.02</w:t>
      </w:r>
      <w:r w:rsidR="00686732" w:rsidRPr="00AA0DD3">
        <w:rPr>
          <w:sz w:val="28"/>
        </w:rPr>
        <w:t>.20</w:t>
      </w:r>
      <w:r w:rsidR="005F01A0">
        <w:rPr>
          <w:sz w:val="28"/>
        </w:rPr>
        <w:t>2</w:t>
      </w:r>
      <w:r>
        <w:rPr>
          <w:sz w:val="28"/>
        </w:rPr>
        <w:t>4</w:t>
      </w:r>
      <w:r w:rsidR="00686732" w:rsidRPr="00AA0DD3">
        <w:rPr>
          <w:sz w:val="28"/>
        </w:rPr>
        <w:t xml:space="preserve">                                         с. Каировка       </w:t>
      </w:r>
      <w:r w:rsidR="00874A95">
        <w:rPr>
          <w:sz w:val="28"/>
        </w:rPr>
        <w:t xml:space="preserve">                              </w:t>
      </w:r>
      <w:r w:rsidR="00686732" w:rsidRPr="00AA0DD3">
        <w:rPr>
          <w:sz w:val="28"/>
        </w:rPr>
        <w:t xml:space="preserve">       №</w:t>
      </w:r>
      <w:r w:rsidR="005F01A0">
        <w:rPr>
          <w:sz w:val="28"/>
        </w:rPr>
        <w:t xml:space="preserve"> </w:t>
      </w:r>
      <w:r>
        <w:rPr>
          <w:sz w:val="28"/>
        </w:rPr>
        <w:t>13</w:t>
      </w:r>
      <w:r w:rsidR="00686732" w:rsidRPr="00AA0DD3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0C1624" w:rsidRDefault="000C1624" w:rsidP="000C1624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0C1624" w:rsidRDefault="000C1624" w:rsidP="000C16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C3F72">
        <w:rPr>
          <w:sz w:val="28"/>
          <w:szCs w:val="28"/>
        </w:rPr>
        <w:t>исполнени</w:t>
      </w:r>
      <w:r>
        <w:rPr>
          <w:sz w:val="28"/>
          <w:szCs w:val="28"/>
        </w:rPr>
        <w:t>ю</w:t>
      </w:r>
      <w:r w:rsidRPr="00BC3F72">
        <w:rPr>
          <w:sz w:val="28"/>
          <w:szCs w:val="28"/>
        </w:rPr>
        <w:t xml:space="preserve"> бюджета муниципального образования</w:t>
      </w:r>
      <w:r>
        <w:rPr>
          <w:sz w:val="28"/>
          <w:szCs w:val="28"/>
        </w:rPr>
        <w:t xml:space="preserve"> </w:t>
      </w:r>
    </w:p>
    <w:p w:rsidR="000C1624" w:rsidRDefault="000C1624" w:rsidP="000C162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Каировский</w:t>
      </w:r>
      <w:r w:rsidRPr="00BC3F72">
        <w:rPr>
          <w:sz w:val="28"/>
          <w:szCs w:val="28"/>
        </w:rPr>
        <w:t xml:space="preserve"> сельсовет Саракташского района</w:t>
      </w:r>
    </w:p>
    <w:p w:rsidR="000C1624" w:rsidRDefault="000C1624" w:rsidP="000C1624">
      <w:pPr>
        <w:jc w:val="center"/>
        <w:rPr>
          <w:sz w:val="28"/>
          <w:szCs w:val="28"/>
        </w:rPr>
      </w:pPr>
      <w:r w:rsidRPr="00BC3F72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 xml:space="preserve"> </w:t>
      </w:r>
      <w:r w:rsidRPr="00BC3F72">
        <w:rPr>
          <w:sz w:val="28"/>
          <w:szCs w:val="28"/>
        </w:rPr>
        <w:t>за  202</w:t>
      </w:r>
      <w:r>
        <w:rPr>
          <w:sz w:val="28"/>
          <w:szCs w:val="28"/>
        </w:rPr>
        <w:t>3</w:t>
      </w:r>
      <w:r w:rsidRPr="00BC3F72">
        <w:rPr>
          <w:sz w:val="28"/>
          <w:szCs w:val="28"/>
        </w:rPr>
        <w:t xml:space="preserve"> год</w:t>
      </w:r>
    </w:p>
    <w:p w:rsidR="00686732" w:rsidRDefault="00686732" w:rsidP="00AB7D8B">
      <w:pPr>
        <w:jc w:val="center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</w:p>
    <w:p w:rsidR="00D76A7B" w:rsidRPr="00D76A7B" w:rsidRDefault="00AB7D8B" w:rsidP="00333684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64A1">
        <w:rPr>
          <w:sz w:val="28"/>
          <w:szCs w:val="28"/>
        </w:rPr>
        <w:t>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</w:t>
      </w:r>
      <w:r w:rsidRPr="00EC1177">
        <w:rPr>
          <w:sz w:val="28"/>
          <w:szCs w:val="28"/>
        </w:rPr>
        <w:t xml:space="preserve">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</w:t>
      </w:r>
      <w:r w:rsidR="006D64A1">
        <w:rPr>
          <w:sz w:val="28"/>
          <w:szCs w:val="28"/>
        </w:rPr>
        <w:t>2</w:t>
      </w:r>
      <w:r w:rsidRPr="00EC1177">
        <w:rPr>
          <w:sz w:val="28"/>
          <w:szCs w:val="28"/>
        </w:rPr>
        <w:t>.1</w:t>
      </w:r>
      <w:r w:rsidR="006D64A1">
        <w:rPr>
          <w:sz w:val="28"/>
          <w:szCs w:val="28"/>
        </w:rPr>
        <w:t>0</w:t>
      </w:r>
      <w:r w:rsidRPr="00EC1177">
        <w:rPr>
          <w:sz w:val="28"/>
          <w:szCs w:val="28"/>
        </w:rPr>
        <w:t>.20</w:t>
      </w:r>
      <w:r w:rsidR="006D64A1">
        <w:rPr>
          <w:sz w:val="28"/>
          <w:szCs w:val="28"/>
        </w:rPr>
        <w:t>22</w:t>
      </w:r>
      <w:r w:rsidRPr="00EC1177">
        <w:rPr>
          <w:sz w:val="28"/>
          <w:szCs w:val="28"/>
        </w:rPr>
        <w:t xml:space="preserve"> № </w:t>
      </w:r>
      <w:r w:rsidR="006D64A1">
        <w:rPr>
          <w:sz w:val="28"/>
          <w:szCs w:val="28"/>
        </w:rPr>
        <w:t>96</w:t>
      </w:r>
      <w:r w:rsidR="000C1624">
        <w:rPr>
          <w:sz w:val="28"/>
          <w:szCs w:val="28"/>
        </w:rPr>
        <w:t xml:space="preserve"> (</w:t>
      </w:r>
      <w:r w:rsidR="006B43BE">
        <w:rPr>
          <w:sz w:val="28"/>
          <w:szCs w:val="28"/>
        </w:rPr>
        <w:t>с изменениями</w:t>
      </w:r>
      <w:r w:rsidR="000C1624">
        <w:rPr>
          <w:sz w:val="28"/>
          <w:szCs w:val="28"/>
        </w:rPr>
        <w:t xml:space="preserve"> от 28.0</w:t>
      </w:r>
      <w:r w:rsidR="006B43BE">
        <w:rPr>
          <w:sz w:val="28"/>
          <w:szCs w:val="28"/>
        </w:rPr>
        <w:t>3</w:t>
      </w:r>
      <w:r w:rsidR="000C1624">
        <w:rPr>
          <w:sz w:val="28"/>
          <w:szCs w:val="28"/>
        </w:rPr>
        <w:t>.2023 №118)</w:t>
      </w:r>
      <w:r w:rsidRPr="00EC1177">
        <w:rPr>
          <w:sz w:val="28"/>
          <w:szCs w:val="28"/>
        </w:rPr>
        <w:t>,</w:t>
      </w:r>
      <w:r w:rsidR="00333684">
        <w:rPr>
          <w:sz w:val="28"/>
          <w:szCs w:val="28"/>
        </w:rPr>
        <w:t xml:space="preserve"> р</w:t>
      </w:r>
      <w:r w:rsidR="00D76A7B" w:rsidRPr="00D76A7B">
        <w:rPr>
          <w:sz w:val="28"/>
          <w:szCs w:val="28"/>
        </w:rPr>
        <w:t xml:space="preserve">уководствуясь статьёй 16 Устава муниципального образования </w:t>
      </w:r>
      <w:r w:rsidR="00D76A7B">
        <w:rPr>
          <w:sz w:val="28"/>
          <w:szCs w:val="28"/>
        </w:rPr>
        <w:t xml:space="preserve">Каировский </w:t>
      </w:r>
      <w:r w:rsidR="00D76A7B" w:rsidRPr="00D76A7B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D76A7B" w:rsidRDefault="00D76A7B" w:rsidP="00D76A7B">
      <w:pPr>
        <w:ind w:firstLine="709"/>
        <w:jc w:val="both"/>
        <w:rPr>
          <w:sz w:val="28"/>
          <w:szCs w:val="28"/>
        </w:rPr>
      </w:pPr>
      <w:r w:rsidRPr="00D76A7B">
        <w:rPr>
          <w:sz w:val="28"/>
          <w:szCs w:val="28"/>
        </w:rPr>
        <w:t xml:space="preserve">1. Обнародовать </w:t>
      </w:r>
      <w:r w:rsidR="000C1624">
        <w:rPr>
          <w:sz w:val="28"/>
          <w:szCs w:val="28"/>
        </w:rPr>
        <w:t>21</w:t>
      </w:r>
      <w:r w:rsidRPr="00D76A7B">
        <w:rPr>
          <w:sz w:val="28"/>
          <w:szCs w:val="28"/>
        </w:rPr>
        <w:t xml:space="preserve"> </w:t>
      </w:r>
      <w:r w:rsidR="002F3AB8">
        <w:rPr>
          <w:sz w:val="28"/>
          <w:szCs w:val="28"/>
        </w:rPr>
        <w:t>феврал</w:t>
      </w:r>
      <w:r w:rsidRPr="00D76A7B">
        <w:rPr>
          <w:sz w:val="28"/>
          <w:szCs w:val="28"/>
        </w:rPr>
        <w:t>я 202</w:t>
      </w:r>
      <w:r w:rsidR="000C1624">
        <w:rPr>
          <w:sz w:val="28"/>
          <w:szCs w:val="28"/>
        </w:rPr>
        <w:t>4</w:t>
      </w:r>
      <w:r w:rsidRPr="00D76A7B">
        <w:rPr>
          <w:sz w:val="28"/>
          <w:szCs w:val="28"/>
        </w:rPr>
        <w:t xml:space="preserve"> года</w:t>
      </w:r>
      <w:r w:rsidR="000C1624">
        <w:rPr>
          <w:sz w:val="28"/>
          <w:szCs w:val="28"/>
        </w:rPr>
        <w:t xml:space="preserve"> </w:t>
      </w:r>
      <w:r w:rsidRPr="00D76A7B">
        <w:rPr>
          <w:sz w:val="28"/>
          <w:szCs w:val="28"/>
        </w:rPr>
        <w:t xml:space="preserve">проект </w:t>
      </w:r>
      <w:r w:rsidR="006B43BE">
        <w:rPr>
          <w:sz w:val="28"/>
          <w:szCs w:val="28"/>
        </w:rPr>
        <w:t>р</w:t>
      </w:r>
      <w:r w:rsidRPr="00D76A7B">
        <w:rPr>
          <w:sz w:val="28"/>
          <w:szCs w:val="28"/>
        </w:rPr>
        <w:t xml:space="preserve">ешения Совета депутатов </w:t>
      </w:r>
      <w:r>
        <w:rPr>
          <w:sz w:val="28"/>
          <w:szCs w:val="28"/>
        </w:rPr>
        <w:t>Каировского</w:t>
      </w:r>
      <w:r w:rsidRPr="00D76A7B">
        <w:rPr>
          <w:sz w:val="28"/>
          <w:szCs w:val="28"/>
        </w:rPr>
        <w:t xml:space="preserve"> сельсовета Саракташского района Оренбургской области «Об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D76A7B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0C1624">
        <w:rPr>
          <w:sz w:val="28"/>
          <w:szCs w:val="28"/>
        </w:rPr>
        <w:t>3</w:t>
      </w:r>
      <w:r w:rsidRPr="00D76A7B">
        <w:rPr>
          <w:sz w:val="28"/>
          <w:szCs w:val="28"/>
        </w:rPr>
        <w:t xml:space="preserve"> год» согласно приложени</w:t>
      </w:r>
      <w:r w:rsidR="008278B0">
        <w:rPr>
          <w:sz w:val="28"/>
          <w:szCs w:val="28"/>
        </w:rPr>
        <w:t>ю</w:t>
      </w:r>
      <w:r w:rsidR="000C1624">
        <w:rPr>
          <w:sz w:val="28"/>
          <w:szCs w:val="28"/>
        </w:rPr>
        <w:t xml:space="preserve"> №1 к настоящему постановлению.</w:t>
      </w:r>
    </w:p>
    <w:p w:rsidR="00DB0987" w:rsidRDefault="00333684" w:rsidP="00D7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7D8B" w:rsidRPr="00EC1177">
        <w:rPr>
          <w:sz w:val="28"/>
          <w:szCs w:val="28"/>
        </w:rPr>
        <w:t xml:space="preserve">. Провести публичные слушания </w:t>
      </w:r>
      <w:r w:rsidR="008278B0">
        <w:rPr>
          <w:sz w:val="28"/>
          <w:szCs w:val="28"/>
        </w:rPr>
        <w:t>0</w:t>
      </w:r>
      <w:r w:rsidR="000C1624">
        <w:rPr>
          <w:sz w:val="28"/>
          <w:szCs w:val="28"/>
        </w:rPr>
        <w:t>5</w:t>
      </w:r>
      <w:r w:rsidR="00AB7D8B">
        <w:rPr>
          <w:sz w:val="28"/>
          <w:szCs w:val="28"/>
        </w:rPr>
        <w:t xml:space="preserve"> </w:t>
      </w:r>
      <w:r w:rsidR="002F3AB8">
        <w:rPr>
          <w:sz w:val="28"/>
          <w:szCs w:val="28"/>
        </w:rPr>
        <w:t>марта</w:t>
      </w:r>
      <w:r w:rsidR="00AB7D8B">
        <w:rPr>
          <w:sz w:val="28"/>
          <w:szCs w:val="28"/>
        </w:rPr>
        <w:t xml:space="preserve"> </w:t>
      </w:r>
      <w:r w:rsidR="00AB7D8B" w:rsidRPr="00EC1177">
        <w:rPr>
          <w:sz w:val="28"/>
          <w:szCs w:val="28"/>
        </w:rPr>
        <w:t>20</w:t>
      </w:r>
      <w:r w:rsidR="005F01A0">
        <w:rPr>
          <w:sz w:val="28"/>
          <w:szCs w:val="28"/>
        </w:rPr>
        <w:t>2</w:t>
      </w:r>
      <w:r w:rsidR="000C1624">
        <w:rPr>
          <w:sz w:val="28"/>
          <w:szCs w:val="28"/>
        </w:rPr>
        <w:t>4</w:t>
      </w:r>
      <w:r w:rsidR="00AB7D8B" w:rsidRPr="00EC1177">
        <w:rPr>
          <w:sz w:val="28"/>
          <w:szCs w:val="28"/>
        </w:rPr>
        <w:t xml:space="preserve"> года в 1</w:t>
      </w:r>
      <w:r w:rsidR="008278B0">
        <w:rPr>
          <w:sz w:val="28"/>
          <w:szCs w:val="28"/>
        </w:rPr>
        <w:t>7</w:t>
      </w:r>
      <w:r w:rsidR="00AB7D8B" w:rsidRPr="00EC1177">
        <w:rPr>
          <w:sz w:val="28"/>
          <w:szCs w:val="28"/>
        </w:rPr>
        <w:t>-</w:t>
      </w:r>
      <w:r w:rsidR="00030179">
        <w:rPr>
          <w:sz w:val="28"/>
          <w:szCs w:val="28"/>
        </w:rPr>
        <w:t>10</w:t>
      </w:r>
      <w:r w:rsidR="00AB7D8B" w:rsidRPr="00EC1177">
        <w:rPr>
          <w:sz w:val="28"/>
          <w:szCs w:val="28"/>
        </w:rPr>
        <w:t xml:space="preserve"> ч. в </w:t>
      </w:r>
      <w:r w:rsidR="000C1624">
        <w:rPr>
          <w:sz w:val="28"/>
          <w:szCs w:val="28"/>
        </w:rPr>
        <w:t>помещении</w:t>
      </w:r>
      <w:r w:rsidR="00AB7D8B" w:rsidRPr="00EC1177">
        <w:rPr>
          <w:sz w:val="28"/>
          <w:szCs w:val="28"/>
        </w:rPr>
        <w:t xml:space="preserve"> администрации </w:t>
      </w:r>
      <w:r w:rsidR="00AB7D8B">
        <w:rPr>
          <w:sz w:val="28"/>
          <w:szCs w:val="28"/>
        </w:rPr>
        <w:t>Каировского</w:t>
      </w:r>
      <w:r w:rsidR="00AB7D8B"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 w:rsidR="00AB7D8B">
        <w:rPr>
          <w:sz w:val="28"/>
          <w:szCs w:val="28"/>
        </w:rPr>
        <w:t>Каировка</w:t>
      </w:r>
      <w:r w:rsidR="00AB7D8B" w:rsidRPr="00EC1177">
        <w:rPr>
          <w:sz w:val="28"/>
          <w:szCs w:val="28"/>
        </w:rPr>
        <w:t xml:space="preserve">, ул. </w:t>
      </w:r>
      <w:r w:rsidR="000C1624">
        <w:rPr>
          <w:sz w:val="28"/>
          <w:szCs w:val="28"/>
        </w:rPr>
        <w:t>Мальцева</w:t>
      </w:r>
      <w:r w:rsidR="00AB7D8B" w:rsidRPr="00EC1177">
        <w:rPr>
          <w:sz w:val="28"/>
          <w:szCs w:val="28"/>
        </w:rPr>
        <w:t>, д</w:t>
      </w:r>
      <w:r w:rsidR="00AB7D8B">
        <w:rPr>
          <w:sz w:val="28"/>
          <w:szCs w:val="28"/>
        </w:rPr>
        <w:t>.</w:t>
      </w:r>
      <w:r w:rsidR="00AB7D8B" w:rsidRPr="00EC1177">
        <w:rPr>
          <w:sz w:val="28"/>
          <w:szCs w:val="28"/>
        </w:rPr>
        <w:t xml:space="preserve"> 2</w:t>
      </w:r>
      <w:r w:rsidR="000C1624">
        <w:rPr>
          <w:sz w:val="28"/>
          <w:szCs w:val="28"/>
        </w:rPr>
        <w:t xml:space="preserve"> по обсуждению </w:t>
      </w:r>
      <w:r w:rsidR="00DB0987" w:rsidRPr="00DB0987">
        <w:rPr>
          <w:sz w:val="28"/>
          <w:szCs w:val="28"/>
        </w:rPr>
        <w:t>исполнени</w:t>
      </w:r>
      <w:r w:rsidR="00DB0987">
        <w:rPr>
          <w:sz w:val="28"/>
          <w:szCs w:val="28"/>
        </w:rPr>
        <w:t>я</w:t>
      </w:r>
      <w:r w:rsidR="00DB0987"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 w:rsidR="00DB0987">
        <w:rPr>
          <w:sz w:val="28"/>
          <w:szCs w:val="28"/>
        </w:rPr>
        <w:t xml:space="preserve"> </w:t>
      </w:r>
      <w:r w:rsidR="00DB0987" w:rsidRPr="00DB0987">
        <w:rPr>
          <w:sz w:val="28"/>
          <w:szCs w:val="28"/>
        </w:rPr>
        <w:t xml:space="preserve"> Оренбургской области  за  202</w:t>
      </w:r>
      <w:r w:rsidR="000C1624">
        <w:rPr>
          <w:sz w:val="28"/>
          <w:szCs w:val="28"/>
        </w:rPr>
        <w:t>3</w:t>
      </w:r>
      <w:r w:rsidR="00DB0987" w:rsidRPr="00DB0987">
        <w:rPr>
          <w:sz w:val="28"/>
          <w:szCs w:val="28"/>
        </w:rPr>
        <w:t xml:space="preserve"> год</w:t>
      </w:r>
      <w:r w:rsidR="000C1624">
        <w:rPr>
          <w:sz w:val="28"/>
          <w:szCs w:val="28"/>
        </w:rPr>
        <w:t>.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</w:r>
      <w:r w:rsidR="00333684">
        <w:rPr>
          <w:sz w:val="28"/>
          <w:szCs w:val="28"/>
        </w:rPr>
        <w:t>3</w:t>
      </w:r>
      <w:r w:rsidRPr="00EC1177">
        <w:rPr>
          <w:sz w:val="28"/>
          <w:szCs w:val="28"/>
        </w:rPr>
        <w:t>. Образовать рабочую группу для организации и проведения публичных слушаний согласно приложению</w:t>
      </w:r>
      <w:r w:rsidR="003B22C0">
        <w:rPr>
          <w:sz w:val="28"/>
          <w:szCs w:val="28"/>
        </w:rPr>
        <w:t xml:space="preserve"> №</w:t>
      </w:r>
      <w:r w:rsidR="001C229D">
        <w:rPr>
          <w:sz w:val="28"/>
          <w:szCs w:val="28"/>
        </w:rPr>
        <w:t>2</w:t>
      </w:r>
      <w:r w:rsidRPr="00EC1177">
        <w:rPr>
          <w:sz w:val="28"/>
          <w:szCs w:val="28"/>
        </w:rPr>
        <w:t>.</w:t>
      </w:r>
    </w:p>
    <w:p w:rsidR="00AB7D8B" w:rsidRDefault="00333684" w:rsidP="00AB7D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7D8B" w:rsidRPr="00EC1177">
        <w:rPr>
          <w:sz w:val="28"/>
          <w:szCs w:val="28"/>
        </w:rPr>
        <w:t>. С</w:t>
      </w:r>
      <w:r w:rsidR="00AB7D8B" w:rsidRPr="00EC1177">
        <w:rPr>
          <w:iCs/>
          <w:sz w:val="28"/>
          <w:szCs w:val="28"/>
        </w:rPr>
        <w:t xml:space="preserve">вои </w:t>
      </w:r>
      <w:r w:rsidR="00AB7D8B" w:rsidRPr="00EC1177">
        <w:rPr>
          <w:sz w:val="28"/>
          <w:szCs w:val="28"/>
        </w:rPr>
        <w:t xml:space="preserve">предложения, замечания, дополнения </w:t>
      </w:r>
      <w:r w:rsidR="00AB7D8B" w:rsidRPr="00EC1177">
        <w:rPr>
          <w:bCs/>
          <w:sz w:val="28"/>
          <w:szCs w:val="28"/>
        </w:rPr>
        <w:t>по вопрос</w:t>
      </w:r>
      <w:r w:rsidR="000C1624">
        <w:rPr>
          <w:bCs/>
          <w:sz w:val="28"/>
          <w:szCs w:val="28"/>
        </w:rPr>
        <w:t>у</w:t>
      </w:r>
      <w:r w:rsidR="00AB7D8B" w:rsidRPr="00EC1177">
        <w:rPr>
          <w:bCs/>
          <w:sz w:val="28"/>
          <w:szCs w:val="28"/>
        </w:rPr>
        <w:t>, указанн</w:t>
      </w:r>
      <w:r w:rsidR="000C1624">
        <w:rPr>
          <w:bCs/>
          <w:sz w:val="28"/>
          <w:szCs w:val="28"/>
        </w:rPr>
        <w:t>о</w:t>
      </w:r>
      <w:r w:rsidR="00AB7D8B" w:rsidRPr="00EC1177">
        <w:rPr>
          <w:bCs/>
          <w:sz w:val="28"/>
          <w:szCs w:val="28"/>
        </w:rPr>
        <w:t>м</w:t>
      </w:r>
      <w:r w:rsidR="000C1624">
        <w:rPr>
          <w:bCs/>
          <w:sz w:val="28"/>
          <w:szCs w:val="28"/>
        </w:rPr>
        <w:t>у</w:t>
      </w:r>
      <w:r w:rsidR="00AB7D8B" w:rsidRPr="00EC1177">
        <w:rPr>
          <w:bCs/>
          <w:sz w:val="28"/>
          <w:szCs w:val="28"/>
        </w:rPr>
        <w:t xml:space="preserve"> в п.</w:t>
      </w:r>
      <w:r w:rsidR="00D76A7B">
        <w:rPr>
          <w:bCs/>
          <w:sz w:val="28"/>
          <w:szCs w:val="28"/>
        </w:rPr>
        <w:t>2</w:t>
      </w:r>
      <w:r w:rsidR="00AB7D8B" w:rsidRPr="00EC1177">
        <w:rPr>
          <w:bCs/>
          <w:sz w:val="28"/>
          <w:szCs w:val="28"/>
        </w:rPr>
        <w:t xml:space="preserve"> настоящего постановления, </w:t>
      </w:r>
      <w:r w:rsidR="00AB7D8B" w:rsidRPr="00EC1177">
        <w:rPr>
          <w:sz w:val="28"/>
          <w:szCs w:val="28"/>
        </w:rPr>
        <w:t>заинтересованные лица вправе направлять</w:t>
      </w:r>
      <w:r w:rsidR="00AB7D8B" w:rsidRPr="00EC1177">
        <w:rPr>
          <w:bCs/>
          <w:sz w:val="28"/>
          <w:szCs w:val="28"/>
        </w:rPr>
        <w:t xml:space="preserve"> </w:t>
      </w:r>
      <w:r w:rsidR="00AA6125">
        <w:rPr>
          <w:bCs/>
          <w:sz w:val="28"/>
          <w:szCs w:val="28"/>
        </w:rPr>
        <w:t>не позднее чем до</w:t>
      </w:r>
      <w:r w:rsidR="00661B8D">
        <w:rPr>
          <w:bCs/>
          <w:sz w:val="28"/>
          <w:szCs w:val="28"/>
        </w:rPr>
        <w:t xml:space="preserve"> </w:t>
      </w:r>
      <w:r w:rsidR="000C1624">
        <w:rPr>
          <w:bCs/>
          <w:sz w:val="28"/>
          <w:szCs w:val="28"/>
        </w:rPr>
        <w:t>4</w:t>
      </w:r>
      <w:r w:rsidR="00AB7D8B" w:rsidRPr="00EC1177">
        <w:rPr>
          <w:bCs/>
          <w:sz w:val="28"/>
          <w:szCs w:val="28"/>
        </w:rPr>
        <w:t xml:space="preserve"> </w:t>
      </w:r>
      <w:r w:rsidR="00661B8D">
        <w:rPr>
          <w:bCs/>
          <w:sz w:val="28"/>
          <w:szCs w:val="28"/>
        </w:rPr>
        <w:t>марта</w:t>
      </w:r>
      <w:r w:rsidR="00AB7D8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0C1624">
        <w:rPr>
          <w:bCs/>
          <w:sz w:val="28"/>
          <w:szCs w:val="28"/>
        </w:rPr>
        <w:t>4</w:t>
      </w:r>
      <w:r w:rsidR="00AB7D8B" w:rsidRPr="00EC1177">
        <w:rPr>
          <w:bCs/>
          <w:sz w:val="28"/>
          <w:szCs w:val="28"/>
        </w:rPr>
        <w:t xml:space="preserve"> года</w:t>
      </w:r>
      <w:r w:rsidR="006B43BE">
        <w:rPr>
          <w:bCs/>
          <w:sz w:val="28"/>
          <w:szCs w:val="28"/>
        </w:rPr>
        <w:t xml:space="preserve"> </w:t>
      </w:r>
      <w:r w:rsidR="006B43BE">
        <w:rPr>
          <w:color w:val="000000"/>
          <w:sz w:val="28"/>
          <w:szCs w:val="28"/>
        </w:rPr>
        <w:t xml:space="preserve">с 10-00 по 17-00 часов по местному времени (кроме выходных и праздничных дней) </w:t>
      </w:r>
      <w:r w:rsidR="00AB7D8B" w:rsidRPr="00EC1177">
        <w:rPr>
          <w:bCs/>
          <w:sz w:val="28"/>
          <w:szCs w:val="28"/>
        </w:rPr>
        <w:t xml:space="preserve">в администрацию </w:t>
      </w:r>
      <w:r w:rsidR="00AB7D8B">
        <w:rPr>
          <w:bCs/>
          <w:sz w:val="28"/>
          <w:szCs w:val="28"/>
        </w:rPr>
        <w:lastRenderedPageBreak/>
        <w:t>Каировского</w:t>
      </w:r>
      <w:r w:rsidR="00AB7D8B" w:rsidRPr="00EC1177">
        <w:rPr>
          <w:bCs/>
          <w:sz w:val="28"/>
          <w:szCs w:val="28"/>
        </w:rPr>
        <w:t xml:space="preserve"> сельсовета </w:t>
      </w:r>
      <w:r w:rsidR="00AB7D8B" w:rsidRPr="00EC1177">
        <w:rPr>
          <w:sz w:val="28"/>
          <w:szCs w:val="28"/>
        </w:rPr>
        <w:t xml:space="preserve">по адресу: Оренбургская область, Саракташский район, село </w:t>
      </w:r>
      <w:r w:rsidR="00AB7D8B">
        <w:rPr>
          <w:sz w:val="28"/>
          <w:szCs w:val="28"/>
        </w:rPr>
        <w:t>Каировка</w:t>
      </w:r>
      <w:r w:rsidR="00AB7D8B" w:rsidRPr="00EC1177">
        <w:rPr>
          <w:sz w:val="28"/>
          <w:szCs w:val="28"/>
        </w:rPr>
        <w:t xml:space="preserve">, ул. </w:t>
      </w:r>
      <w:r w:rsidR="000C1624">
        <w:rPr>
          <w:sz w:val="28"/>
          <w:szCs w:val="28"/>
        </w:rPr>
        <w:t>Мальцева</w:t>
      </w:r>
      <w:r w:rsidR="00AB7D8B" w:rsidRPr="00EC1177">
        <w:rPr>
          <w:sz w:val="28"/>
          <w:szCs w:val="28"/>
        </w:rPr>
        <w:t>, д. 2 (кабинет главы сельсовета</w:t>
      </w:r>
      <w:r w:rsidR="00BD46B6">
        <w:rPr>
          <w:sz w:val="28"/>
          <w:szCs w:val="28"/>
        </w:rPr>
        <w:t>)</w:t>
      </w:r>
      <w:r w:rsidR="00AB7D8B" w:rsidRPr="00EC1177">
        <w:rPr>
          <w:sz w:val="28"/>
          <w:szCs w:val="28"/>
        </w:rPr>
        <w:t xml:space="preserve">, тел. </w:t>
      </w:r>
      <w:r w:rsidR="009B5E7E">
        <w:rPr>
          <w:sz w:val="28"/>
          <w:szCs w:val="28"/>
        </w:rPr>
        <w:t>8 (35333)</w:t>
      </w:r>
      <w:r w:rsidR="00AB7D8B" w:rsidRPr="00EC1177">
        <w:rPr>
          <w:sz w:val="28"/>
          <w:szCs w:val="28"/>
        </w:rPr>
        <w:t>2</w:t>
      </w:r>
      <w:r w:rsidR="00AB7D8B">
        <w:rPr>
          <w:sz w:val="28"/>
          <w:szCs w:val="28"/>
        </w:rPr>
        <w:t>6</w:t>
      </w:r>
      <w:r w:rsidR="009B5E7E">
        <w:rPr>
          <w:sz w:val="28"/>
          <w:szCs w:val="28"/>
        </w:rPr>
        <w:t>-</w:t>
      </w:r>
      <w:r w:rsidR="00AB7D8B">
        <w:rPr>
          <w:sz w:val="28"/>
          <w:szCs w:val="28"/>
        </w:rPr>
        <w:t>4</w:t>
      </w:r>
      <w:r w:rsidR="009B5E7E">
        <w:rPr>
          <w:sz w:val="28"/>
          <w:szCs w:val="28"/>
        </w:rPr>
        <w:t>-</w:t>
      </w:r>
      <w:r w:rsidR="00AB7D8B">
        <w:rPr>
          <w:sz w:val="28"/>
          <w:szCs w:val="28"/>
        </w:rPr>
        <w:t>18</w:t>
      </w:r>
      <w:r w:rsidR="00BD46B6">
        <w:rPr>
          <w:sz w:val="28"/>
          <w:szCs w:val="28"/>
        </w:rPr>
        <w:t>.</w:t>
      </w:r>
      <w:r w:rsidR="00AB7D8B" w:rsidRPr="00EC1177">
        <w:rPr>
          <w:sz w:val="28"/>
          <w:szCs w:val="28"/>
        </w:rPr>
        <w:t xml:space="preserve"> </w:t>
      </w:r>
    </w:p>
    <w:p w:rsidR="00AB7D8B" w:rsidRDefault="007B0434" w:rsidP="002F3AB8">
      <w:pPr>
        <w:ind w:firstLine="720"/>
        <w:jc w:val="both"/>
        <w:rPr>
          <w:sz w:val="28"/>
          <w:szCs w:val="28"/>
        </w:rPr>
      </w:pPr>
      <w:r w:rsidRPr="009C07C4">
        <w:rPr>
          <w:sz w:val="28"/>
          <w:szCs w:val="28"/>
        </w:rPr>
        <w:t>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 </w:t>
      </w:r>
      <w:r w:rsidR="002F3AB8">
        <w:rPr>
          <w:sz w:val="28"/>
          <w:szCs w:val="28"/>
        </w:rPr>
        <w:t>Бочкареву Т.А.</w:t>
      </w:r>
      <w:r>
        <w:rPr>
          <w:sz w:val="28"/>
          <w:szCs w:val="28"/>
        </w:rPr>
        <w:t>, специалиста 1 категории.</w:t>
      </w:r>
    </w:p>
    <w:p w:rsidR="00BC2F15" w:rsidRPr="00EC1177" w:rsidRDefault="00333684" w:rsidP="002F3AB8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F15" w:rsidRPr="00EC1177">
        <w:rPr>
          <w:sz w:val="28"/>
          <w:szCs w:val="28"/>
        </w:rPr>
        <w:t xml:space="preserve">. </w:t>
      </w:r>
      <w:r w:rsidR="00BC2F15"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</w:t>
      </w:r>
      <w:r>
        <w:rPr>
          <w:color w:val="000000"/>
          <w:sz w:val="28"/>
          <w:szCs w:val="28"/>
        </w:rPr>
        <w:t xml:space="preserve"> </w:t>
      </w:r>
      <w:r w:rsidR="00BC2F15"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 w:rsidR="00BC2F15">
        <w:rPr>
          <w:sz w:val="28"/>
          <w:szCs w:val="28"/>
        </w:rPr>
        <w:t>Каировский</w:t>
      </w:r>
      <w:r w:rsidR="00BC2F15" w:rsidRPr="00EC1177">
        <w:rPr>
          <w:sz w:val="28"/>
          <w:szCs w:val="28"/>
        </w:rPr>
        <w:t xml:space="preserve"> сельсовет Саракташск</w:t>
      </w:r>
      <w:r w:rsidR="00BD46B6">
        <w:rPr>
          <w:sz w:val="28"/>
          <w:szCs w:val="28"/>
        </w:rPr>
        <w:t>ого района Оренбургской области и ПОС ЕГПУ.</w:t>
      </w:r>
    </w:p>
    <w:p w:rsidR="00BC2F15" w:rsidRPr="00EC1177" w:rsidRDefault="00333684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2F15"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сельсовета                                                         </w:t>
      </w:r>
      <w:r w:rsidR="002F3AB8">
        <w:rPr>
          <w:sz w:val="28"/>
          <w:szCs w:val="28"/>
        </w:rPr>
        <w:t xml:space="preserve">                 А.Н.Логвиненко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в дело</w:t>
      </w: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333684" w:rsidRDefault="00333684" w:rsidP="00AA0DD3">
      <w:pPr>
        <w:jc w:val="both"/>
        <w:rPr>
          <w:sz w:val="28"/>
          <w:szCs w:val="28"/>
        </w:rPr>
      </w:pPr>
    </w:p>
    <w:p w:rsidR="00757C21" w:rsidRDefault="00333684" w:rsidP="00757C21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757C21" w:rsidRPr="00EC1177">
        <w:rPr>
          <w:sz w:val="28"/>
          <w:szCs w:val="28"/>
        </w:rPr>
        <w:lastRenderedPageBreak/>
        <w:t>Приложение</w:t>
      </w:r>
      <w:r w:rsidR="00757C21">
        <w:rPr>
          <w:sz w:val="28"/>
          <w:szCs w:val="28"/>
        </w:rPr>
        <w:t xml:space="preserve"> №1</w:t>
      </w:r>
    </w:p>
    <w:p w:rsidR="00757C21" w:rsidRDefault="00757C21" w:rsidP="00757C21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1C229D" w:rsidRDefault="001C229D" w:rsidP="00757C21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1C229D" w:rsidRPr="00EC1177" w:rsidRDefault="001C229D" w:rsidP="00757C21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757C21" w:rsidRDefault="00757C21" w:rsidP="00757C21">
      <w:pPr>
        <w:ind w:left="4536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 w:rsidR="001C229D">
        <w:rPr>
          <w:sz w:val="28"/>
          <w:szCs w:val="28"/>
        </w:rPr>
        <w:t xml:space="preserve"> 20</w:t>
      </w:r>
      <w:r>
        <w:rPr>
          <w:sz w:val="28"/>
          <w:szCs w:val="28"/>
        </w:rPr>
        <w:t>.02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C229D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C229D">
        <w:rPr>
          <w:sz w:val="28"/>
          <w:szCs w:val="28"/>
        </w:rPr>
        <w:t>13</w:t>
      </w:r>
      <w:r>
        <w:rPr>
          <w:sz w:val="28"/>
          <w:szCs w:val="28"/>
        </w:rPr>
        <w:t xml:space="preserve">-п </w:t>
      </w:r>
    </w:p>
    <w:p w:rsidR="001C229D" w:rsidRPr="00DB0BC4" w:rsidRDefault="00875796" w:rsidP="001C229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noProof/>
          <w:sz w:val="52"/>
          <w:szCs w:val="5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785" cy="76073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29D">
        <w:rPr>
          <w:rFonts w:ascii="Arial" w:hAnsi="Arial" w:cs="Arial"/>
          <w:noProof/>
          <w:sz w:val="20"/>
          <w:szCs w:val="20"/>
        </w:rPr>
        <w:t xml:space="preserve">                                                    </w:t>
      </w:r>
      <w:r w:rsidR="001C229D">
        <w:rPr>
          <w:rFonts w:ascii="Arial" w:hAnsi="Arial" w:cs="Arial"/>
          <w:noProof/>
          <w:sz w:val="52"/>
          <w:szCs w:val="52"/>
        </w:rPr>
        <w:t>ПРОЕКТ</w:t>
      </w:r>
    </w:p>
    <w:p w:rsidR="001C229D" w:rsidRPr="008C2B65" w:rsidRDefault="001C229D" w:rsidP="001C22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1C229D" w:rsidRPr="008C2B65" w:rsidRDefault="001C229D" w:rsidP="001C22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1C229D" w:rsidRPr="008C2B65" w:rsidRDefault="001C229D" w:rsidP="001C22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1C229D" w:rsidRPr="008C2B65" w:rsidRDefault="001C229D" w:rsidP="001C22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</w:t>
      </w:r>
      <w:r w:rsidRPr="008C2B65">
        <w:rPr>
          <w:b/>
          <w:caps/>
          <w:sz w:val="28"/>
          <w:szCs w:val="28"/>
        </w:rPr>
        <w:t xml:space="preserve"> созыв</w:t>
      </w:r>
    </w:p>
    <w:p w:rsidR="001C229D" w:rsidRPr="008C2B65" w:rsidRDefault="001C229D" w:rsidP="001C22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1C229D" w:rsidRPr="008C2B65" w:rsidRDefault="001C229D" w:rsidP="001C22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1C229D" w:rsidRPr="008C2B65" w:rsidRDefault="001C229D" w:rsidP="001C22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1C229D" w:rsidRPr="008C2B65" w:rsidRDefault="001C229D" w:rsidP="001C22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color w:val="FF0000"/>
          <w:sz w:val="28"/>
          <w:szCs w:val="28"/>
        </w:rPr>
        <w:t xml:space="preserve"> </w:t>
      </w:r>
      <w:r w:rsidRPr="008C2B65">
        <w:rPr>
          <w:sz w:val="28"/>
          <w:szCs w:val="28"/>
        </w:rPr>
        <w:t>заседания Совета депутатов</w:t>
      </w:r>
    </w:p>
    <w:p w:rsidR="001C229D" w:rsidRPr="008C2B65" w:rsidRDefault="001C229D" w:rsidP="001C22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1C229D" w:rsidRPr="008C2B65" w:rsidRDefault="001C229D" w:rsidP="001C22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8C2B65">
        <w:rPr>
          <w:sz w:val="28"/>
          <w:szCs w:val="28"/>
        </w:rPr>
        <w:t xml:space="preserve"> созыва</w:t>
      </w:r>
    </w:p>
    <w:p w:rsidR="001C229D" w:rsidRPr="00F242BE" w:rsidRDefault="001C229D" w:rsidP="001C22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229D" w:rsidRPr="00F242BE" w:rsidRDefault="001C229D" w:rsidP="001C22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F242BE">
        <w:rPr>
          <w:sz w:val="28"/>
          <w:szCs w:val="28"/>
        </w:rPr>
        <w:t xml:space="preserve">                   с.</w:t>
      </w:r>
      <w:r>
        <w:rPr>
          <w:sz w:val="28"/>
          <w:szCs w:val="28"/>
        </w:rPr>
        <w:t xml:space="preserve"> </w:t>
      </w:r>
      <w:r w:rsidRPr="00F242BE">
        <w:rPr>
          <w:sz w:val="28"/>
          <w:szCs w:val="28"/>
        </w:rPr>
        <w:t xml:space="preserve">Каировка                                           </w:t>
      </w:r>
      <w:r>
        <w:rPr>
          <w:sz w:val="28"/>
          <w:szCs w:val="28"/>
        </w:rPr>
        <w:t>_____</w:t>
      </w:r>
    </w:p>
    <w:p w:rsidR="001C229D" w:rsidRPr="00F242BE" w:rsidRDefault="001C229D" w:rsidP="001C229D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1C229D" w:rsidRPr="00F242BE" w:rsidRDefault="001C229D" w:rsidP="001C22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29D" w:rsidRDefault="001C229D" w:rsidP="001C229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1C229D" w:rsidRDefault="001C229D" w:rsidP="001C229D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1C229D" w:rsidRDefault="001C229D" w:rsidP="001C229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1C229D" w:rsidRPr="00D80272" w:rsidRDefault="001C229D" w:rsidP="001C229D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2023</w:t>
      </w:r>
      <w:r w:rsidRPr="00D80272">
        <w:rPr>
          <w:sz w:val="28"/>
          <w:szCs w:val="28"/>
        </w:rPr>
        <w:t xml:space="preserve"> год</w:t>
      </w:r>
    </w:p>
    <w:p w:rsidR="001C229D" w:rsidRPr="00D80272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Default="001C229D" w:rsidP="001C229D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2023 год</w:t>
      </w:r>
    </w:p>
    <w:p w:rsidR="001C229D" w:rsidRPr="00D80272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Pr="00D80272" w:rsidRDefault="001C229D" w:rsidP="001C229D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1C229D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Pr="00D80272" w:rsidRDefault="001C229D" w:rsidP="001C229D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1C229D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Default="001C229D" w:rsidP="001C229D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 к сведению</w:t>
      </w:r>
      <w:r w:rsidRPr="00903698">
        <w:rPr>
          <w:sz w:val="28"/>
          <w:szCs w:val="28"/>
        </w:rPr>
        <w:t xml:space="preserve">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>
        <w:rPr>
          <w:sz w:val="28"/>
          <w:szCs w:val="28"/>
        </w:rPr>
        <w:t>3 год</w:t>
      </w:r>
      <w:r w:rsidRPr="00903698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7 729,348 </w:t>
      </w:r>
      <w:r w:rsidRPr="00903698">
        <w:rPr>
          <w:sz w:val="28"/>
          <w:szCs w:val="28"/>
        </w:rPr>
        <w:t xml:space="preserve">тыс. рублей и расходам в сумме </w:t>
      </w:r>
      <w:r>
        <w:rPr>
          <w:sz w:val="28"/>
          <w:szCs w:val="28"/>
        </w:rPr>
        <w:t xml:space="preserve">8 311,637 </w:t>
      </w:r>
      <w:r w:rsidRPr="0090369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1C229D" w:rsidRDefault="001C229D" w:rsidP="001C229D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lastRenderedPageBreak/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>
        <w:rPr>
          <w:sz w:val="28"/>
          <w:szCs w:val="28"/>
        </w:rPr>
        <w:t>3 год по доходам согласно приложению</w:t>
      </w:r>
      <w:r w:rsidRPr="00B1635E">
        <w:rPr>
          <w:sz w:val="28"/>
          <w:szCs w:val="28"/>
        </w:rPr>
        <w:t xml:space="preserve"> №1 к настоящему решению.</w:t>
      </w:r>
    </w:p>
    <w:p w:rsidR="001C229D" w:rsidRDefault="001C229D" w:rsidP="001C229D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>
        <w:rPr>
          <w:sz w:val="28"/>
          <w:szCs w:val="28"/>
        </w:rPr>
        <w:t>3 год</w:t>
      </w:r>
      <w:r w:rsidRPr="00B1635E">
        <w:rPr>
          <w:sz w:val="28"/>
          <w:szCs w:val="28"/>
        </w:rPr>
        <w:t xml:space="preserve"> по расходам согласно приложению №2 к настоящему решению.</w:t>
      </w:r>
    </w:p>
    <w:p w:rsidR="001C229D" w:rsidRDefault="001C229D" w:rsidP="001C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635E">
        <w:rPr>
          <w:sz w:val="28"/>
          <w:szCs w:val="28"/>
        </w:rPr>
        <w:t>Настоящее решение вступ</w:t>
      </w:r>
      <w:r>
        <w:rPr>
          <w:sz w:val="28"/>
          <w:szCs w:val="28"/>
        </w:rPr>
        <w:t>ает в силу после его подписания</w:t>
      </w:r>
      <w:r w:rsidRPr="00B1635E">
        <w:rPr>
          <w:sz w:val="28"/>
          <w:szCs w:val="28"/>
        </w:rPr>
        <w:t xml:space="preserve"> и 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Каировский</w:t>
      </w:r>
      <w:r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sz w:val="28"/>
          <w:szCs w:val="28"/>
        </w:rPr>
        <w:t>.</w:t>
      </w:r>
    </w:p>
    <w:p w:rsidR="001C229D" w:rsidRPr="00D80272" w:rsidRDefault="001C229D" w:rsidP="001C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0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>
        <w:rPr>
          <w:sz w:val="28"/>
          <w:szCs w:val="28"/>
        </w:rPr>
        <w:t>(Шлома Л.Н.)</w:t>
      </w:r>
    </w:p>
    <w:p w:rsidR="001C229D" w:rsidRPr="00D80272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Pr="004473C0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Pr="006B614F" w:rsidRDefault="001C229D" w:rsidP="001C229D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1C229D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Pr="006B614F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Pr="006B614F" w:rsidRDefault="001C229D" w:rsidP="001C229D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1C229D" w:rsidRDefault="001C229D" w:rsidP="001C229D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1C229D" w:rsidRPr="006B614F" w:rsidRDefault="001C229D" w:rsidP="001C229D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А.Н.Логвиненко</w:t>
      </w:r>
    </w:p>
    <w:p w:rsidR="001C229D" w:rsidRPr="006B614F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Pr="004473C0" w:rsidRDefault="001C229D" w:rsidP="001C229D">
      <w:pPr>
        <w:ind w:firstLine="709"/>
        <w:jc w:val="both"/>
        <w:rPr>
          <w:sz w:val="28"/>
          <w:szCs w:val="28"/>
        </w:rPr>
      </w:pPr>
    </w:p>
    <w:p w:rsidR="001C229D" w:rsidRDefault="001C229D" w:rsidP="001C229D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1C229D" w:rsidRDefault="001C229D" w:rsidP="001C229D">
      <w:pPr>
        <w:jc w:val="both"/>
        <w:rPr>
          <w:sz w:val="28"/>
          <w:szCs w:val="28"/>
        </w:rPr>
        <w:sectPr w:rsidR="001C229D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29D" w:rsidRPr="00305A6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C229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к решению Совета депутатов</w:t>
      </w:r>
    </w:p>
    <w:p w:rsidR="001C229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Каировского</w:t>
      </w: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A6D">
        <w:rPr>
          <w:sz w:val="28"/>
          <w:szCs w:val="28"/>
        </w:rPr>
        <w:t>сельсовета</w:t>
      </w:r>
    </w:p>
    <w:p w:rsidR="001C229D" w:rsidRPr="00305A6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Саракташского района </w:t>
      </w:r>
    </w:p>
    <w:p w:rsidR="001C229D" w:rsidRPr="00305A6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1C229D" w:rsidRPr="00FF2926" w:rsidRDefault="001C229D" w:rsidP="001C229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1C229D" w:rsidRPr="00830640" w:rsidRDefault="001C229D" w:rsidP="001C229D">
      <w:pPr>
        <w:jc w:val="center"/>
        <w:rPr>
          <w:sz w:val="28"/>
          <w:szCs w:val="28"/>
        </w:rPr>
      </w:pPr>
    </w:p>
    <w:p w:rsidR="001C229D" w:rsidRDefault="001C229D" w:rsidP="001C229D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 xml:space="preserve">Исполнение бюджета </w:t>
      </w:r>
    </w:p>
    <w:p w:rsidR="001C229D" w:rsidRDefault="001C229D" w:rsidP="001C229D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администрации муниципального образовани</w:t>
      </w:r>
      <w:r>
        <w:rPr>
          <w:sz w:val="28"/>
          <w:szCs w:val="28"/>
        </w:rPr>
        <w:t xml:space="preserve">я Каировский сельсовет Саракташского района Оренбургской области </w:t>
      </w:r>
    </w:p>
    <w:p w:rsidR="001C229D" w:rsidRDefault="001C229D" w:rsidP="001C229D">
      <w:pPr>
        <w:ind w:left="993" w:right="9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1C79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7909">
        <w:rPr>
          <w:sz w:val="28"/>
          <w:szCs w:val="28"/>
        </w:rPr>
        <w:t xml:space="preserve"> год по доходам</w:t>
      </w:r>
    </w:p>
    <w:tbl>
      <w:tblPr>
        <w:tblW w:w="10365" w:type="dxa"/>
        <w:tblInd w:w="91" w:type="dxa"/>
        <w:tblLayout w:type="fixed"/>
        <w:tblLook w:val="04A0"/>
      </w:tblPr>
      <w:tblGrid>
        <w:gridCol w:w="5404"/>
        <w:gridCol w:w="1900"/>
        <w:gridCol w:w="1927"/>
        <w:gridCol w:w="1134"/>
      </w:tblGrid>
      <w:tr w:rsidR="001C229D" w:rsidRPr="00DB0BC4" w:rsidTr="00986687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Исполнено</w:t>
            </w:r>
          </w:p>
        </w:tc>
      </w:tr>
      <w:tr w:rsidR="001C229D" w:rsidRPr="00DB0BC4" w:rsidTr="00986687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%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7 870 608,04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7 729 348,54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98,2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1 794 508,04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1 653 264,26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92,1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262 000,00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275 740,81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105,2</w:t>
            </w:r>
          </w:p>
        </w:tc>
      </w:tr>
      <w:tr w:rsidR="001C229D" w:rsidRPr="00DB0BC4" w:rsidTr="00986687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722 000,00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840 370,69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116,4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63 873,40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63,9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из них налог, взимаемый в связи с применением УСН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-5 163,60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69 037,00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69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599 000,00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361 771,32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60,4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16 000,00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12 580,62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78,6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-196 500,00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583 000,00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545 690,70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93,6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44 508,04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44 508,04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41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65 000,00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6 076 100,00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6 076 084,28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color w:val="000000"/>
              </w:rPr>
              <w:t>99,9</w:t>
            </w:r>
          </w:p>
        </w:tc>
      </w:tr>
      <w:tr w:rsidR="001C229D" w:rsidRPr="00DB0BC4" w:rsidTr="009866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</w:p>
        </w:tc>
      </w:tr>
      <w:tr w:rsidR="001C229D" w:rsidRPr="00DB0BC4" w:rsidTr="00986687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3 577 000,00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3 577 000,00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912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39 000,00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283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1 292 500,00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1 292 484,28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99,9</w:t>
            </w:r>
          </w:p>
        </w:tc>
      </w:tr>
      <w:tr w:rsidR="001C229D" w:rsidRPr="00DB0BC4" w:rsidTr="00986687">
        <w:trPr>
          <w:trHeight w:val="391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380 000,00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45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3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3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150 000,00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</w:tbl>
    <w:p w:rsidR="001C229D" w:rsidRDefault="001C229D" w:rsidP="001C229D">
      <w:pPr>
        <w:rPr>
          <w:sz w:val="28"/>
          <w:szCs w:val="28"/>
        </w:rPr>
      </w:pPr>
    </w:p>
    <w:p w:rsidR="001C229D" w:rsidRPr="00830640" w:rsidRDefault="001C229D" w:rsidP="001C229D">
      <w:pPr>
        <w:rPr>
          <w:sz w:val="28"/>
          <w:szCs w:val="28"/>
        </w:rPr>
        <w:sectPr w:rsidR="001C229D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1C229D" w:rsidRPr="00305A6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C229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к решению Совета депутатов</w:t>
      </w:r>
    </w:p>
    <w:p w:rsidR="001C229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Каировского</w:t>
      </w: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A6D">
        <w:rPr>
          <w:sz w:val="28"/>
          <w:szCs w:val="28"/>
        </w:rPr>
        <w:t>сельсовета</w:t>
      </w:r>
    </w:p>
    <w:p w:rsidR="001C229D" w:rsidRPr="00305A6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Саракташского района </w:t>
      </w:r>
    </w:p>
    <w:p w:rsidR="001C229D" w:rsidRPr="00305A6D" w:rsidRDefault="001C229D" w:rsidP="001C229D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1C229D" w:rsidRPr="00FF2926" w:rsidRDefault="001C229D" w:rsidP="001C229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1C229D" w:rsidRPr="00ED1487" w:rsidRDefault="001C229D" w:rsidP="001C229D">
      <w:pPr>
        <w:ind w:left="6521"/>
        <w:rPr>
          <w:b/>
          <w:bCs/>
        </w:rPr>
      </w:pPr>
    </w:p>
    <w:p w:rsidR="001C229D" w:rsidRDefault="001C229D" w:rsidP="001C229D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</w:t>
      </w:r>
    </w:p>
    <w:p w:rsidR="001C229D" w:rsidRDefault="001C229D" w:rsidP="001C229D">
      <w:pPr>
        <w:ind w:left="993" w:right="939"/>
        <w:jc w:val="center"/>
        <w:rPr>
          <w:sz w:val="28"/>
          <w:szCs w:val="28"/>
        </w:rPr>
      </w:pPr>
      <w:r w:rsidRPr="00E60F47">
        <w:rPr>
          <w:bCs/>
          <w:sz w:val="28"/>
          <w:szCs w:val="28"/>
        </w:rPr>
        <w:t xml:space="preserve">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 </w:t>
      </w:r>
      <w:r>
        <w:rPr>
          <w:sz w:val="28"/>
          <w:szCs w:val="28"/>
        </w:rPr>
        <w:t xml:space="preserve">Саракташского района Оренбургской области </w:t>
      </w:r>
    </w:p>
    <w:p w:rsidR="001C229D" w:rsidRDefault="001C229D" w:rsidP="001C229D">
      <w:pPr>
        <w:ind w:left="993" w:right="9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Pr="00E60F4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3 года </w:t>
      </w:r>
      <w:r w:rsidRPr="00E60F47">
        <w:rPr>
          <w:bCs/>
          <w:sz w:val="28"/>
          <w:szCs w:val="28"/>
        </w:rPr>
        <w:t>по расходам</w:t>
      </w:r>
    </w:p>
    <w:tbl>
      <w:tblPr>
        <w:tblW w:w="10202" w:type="dxa"/>
        <w:jc w:val="center"/>
        <w:tblLayout w:type="fixed"/>
        <w:tblLook w:val="04A0"/>
      </w:tblPr>
      <w:tblGrid>
        <w:gridCol w:w="5052"/>
        <w:gridCol w:w="1575"/>
        <w:gridCol w:w="2016"/>
        <w:gridCol w:w="1559"/>
      </w:tblGrid>
      <w:tr w:rsidR="001C229D" w:rsidRPr="00DB0BC4" w:rsidTr="00986687">
        <w:trPr>
          <w:trHeight w:val="792"/>
          <w:jc w:val="center"/>
        </w:trPr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Исполнено</w:t>
            </w:r>
          </w:p>
        </w:tc>
      </w:tr>
      <w:tr w:rsidR="001C229D" w:rsidRPr="00DB0BC4" w:rsidTr="00986687">
        <w:trPr>
          <w:trHeight w:val="330"/>
          <w:jc w:val="center"/>
        </w:trPr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29D" w:rsidRPr="00DB0BC4" w:rsidRDefault="001C229D" w:rsidP="00986687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%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Расходы бюджета -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8 793 546,65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jc w:val="right"/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8 311 637,10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94,5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ОБЩЕГОСУДАРСТВЕННЫЕ ВОПРОСЫ</w:t>
            </w:r>
          </w:p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из них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2 735 453,68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</w:p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2 735 453,68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738 818,21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738 818,21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1 969 940,97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1 969 940,97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27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57 400,00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   Межбюджетные трансферты на осуществление части переданных в район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332 920,00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332 920,00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232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Исполнение судебных актов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25 400,00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1 294,50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24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НАЦИОНАЛЬНАЯ ОБОРОНА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13 252,90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13 252,90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НАЦИОНАЛЬНАЯ ЭКОНОМИКА 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1 619 128,85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1 507 166,23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93,1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ЖИЛИЩНО-КОММУНАЛЬНОЕ ХОЗЯЙСТВО</w:t>
            </w:r>
          </w:p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lastRenderedPageBreak/>
              <w:t>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lastRenderedPageBreak/>
              <w:t>853 619,49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843 688,37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98,8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lastRenderedPageBreak/>
              <w:t xml:space="preserve">         Коммунальное хозяйство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97 694,82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97 694,82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  Благоустройство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755 924,67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745 993,55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98,7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КУЛЬТУРА, КИНЕМАТОГРАФИЯ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3 443 591,73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3 083 575,92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89,5</w:t>
            </w:r>
          </w:p>
        </w:tc>
      </w:tr>
      <w:tr w:rsidR="001C229D" w:rsidRPr="00DB0BC4" w:rsidTr="00986687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</w:p>
        </w:tc>
      </w:tr>
      <w:tr w:rsidR="001C229D" w:rsidRPr="00DB0BC4" w:rsidTr="00986687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ind w:left="476"/>
              <w:rPr>
                <w:color w:val="000000"/>
              </w:rPr>
            </w:pPr>
            <w:r w:rsidRPr="00DB0BC4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1 648 100,00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1 648 100,00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1C229D" w:rsidRPr="00DB0BC4" w:rsidTr="00986687">
        <w:trPr>
          <w:trHeight w:val="639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ind w:left="476"/>
              <w:rPr>
                <w:color w:val="000000"/>
              </w:rPr>
            </w:pPr>
            <w:r w:rsidRPr="00DB0BC4">
              <w:rPr>
                <w:color w:val="000000"/>
              </w:rPr>
              <w:t>Повышение заработной платы работникам 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</w:p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</w:p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229D" w:rsidRPr="00DB0BC4" w:rsidRDefault="001C229D" w:rsidP="00986687">
            <w:pPr>
              <w:jc w:val="right"/>
              <w:rPr>
                <w:color w:val="000000"/>
              </w:rPr>
            </w:pPr>
          </w:p>
          <w:p w:rsidR="001C229D" w:rsidRPr="00DB0BC4" w:rsidRDefault="001C229D" w:rsidP="0098668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</w:tbl>
    <w:p w:rsidR="001C229D" w:rsidRDefault="001C229D" w:rsidP="001C229D">
      <w:pPr>
        <w:ind w:right="-2"/>
        <w:rPr>
          <w:rFonts w:ascii="Times New Roman OpenType" w:hAnsi="Times New Roman OpenType" w:cs="Times New Roman OpenType"/>
          <w:sz w:val="28"/>
          <w:szCs w:val="28"/>
        </w:rPr>
      </w:pPr>
    </w:p>
    <w:p w:rsidR="00757C21" w:rsidRDefault="00757C21" w:rsidP="003B22C0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57C21" w:rsidRPr="00AA0DD3" w:rsidRDefault="00757C21" w:rsidP="00030179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  <w:sectPr w:rsidR="00757C21" w:rsidRPr="00AA0DD3" w:rsidSect="00970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22C0" w:rsidRDefault="003B22C0" w:rsidP="003B22C0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1C229D">
        <w:rPr>
          <w:sz w:val="28"/>
          <w:szCs w:val="28"/>
        </w:rPr>
        <w:t>2</w:t>
      </w:r>
    </w:p>
    <w:p w:rsidR="003B22C0" w:rsidRDefault="003B22C0" w:rsidP="003B22C0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</w:p>
    <w:p w:rsidR="003B22C0" w:rsidRDefault="003B22C0" w:rsidP="003B22C0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1C229D" w:rsidRDefault="001C229D" w:rsidP="003B22C0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1C229D" w:rsidRPr="00EC1177" w:rsidRDefault="001C229D" w:rsidP="003B22C0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B22C0" w:rsidRDefault="003B22C0" w:rsidP="003B22C0">
      <w:pPr>
        <w:ind w:left="4536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 w:rsidR="001C229D">
        <w:rPr>
          <w:sz w:val="28"/>
          <w:szCs w:val="28"/>
        </w:rPr>
        <w:t xml:space="preserve"> 20</w:t>
      </w:r>
      <w:r>
        <w:rPr>
          <w:sz w:val="28"/>
          <w:szCs w:val="28"/>
        </w:rPr>
        <w:t>.02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C229D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EC1177">
        <w:rPr>
          <w:sz w:val="28"/>
          <w:szCs w:val="28"/>
        </w:rPr>
        <w:t>№</w:t>
      </w:r>
      <w:r w:rsidR="00661B8D">
        <w:rPr>
          <w:sz w:val="28"/>
          <w:szCs w:val="28"/>
        </w:rPr>
        <w:t xml:space="preserve"> </w:t>
      </w:r>
      <w:r w:rsidR="001C229D">
        <w:rPr>
          <w:sz w:val="28"/>
          <w:szCs w:val="28"/>
        </w:rPr>
        <w:t>13</w:t>
      </w:r>
      <w:r>
        <w:rPr>
          <w:sz w:val="28"/>
          <w:szCs w:val="28"/>
        </w:rPr>
        <w:t xml:space="preserve">-п 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BC2F15" w:rsidRPr="00CA2718" w:rsidRDefault="00BC2F15" w:rsidP="001C229D">
      <w:pPr>
        <w:shd w:val="clear" w:color="auto" w:fill="FFFFFF"/>
        <w:ind w:left="851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>Состав</w:t>
      </w:r>
    </w:p>
    <w:p w:rsidR="001C229D" w:rsidRDefault="00BC2F15" w:rsidP="001C229D">
      <w:pPr>
        <w:ind w:left="851" w:right="423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 xml:space="preserve">рабочей группы </w:t>
      </w:r>
      <w:r w:rsidR="005800E2" w:rsidRPr="00EC1177">
        <w:rPr>
          <w:sz w:val="28"/>
          <w:szCs w:val="28"/>
        </w:rPr>
        <w:t>для организации и проведения публичных слушаний</w:t>
      </w:r>
      <w:r w:rsidR="005800E2">
        <w:rPr>
          <w:sz w:val="28"/>
          <w:szCs w:val="28"/>
        </w:rPr>
        <w:t xml:space="preserve"> </w:t>
      </w:r>
      <w:r w:rsidR="00757EBE">
        <w:rPr>
          <w:sz w:val="28"/>
          <w:szCs w:val="28"/>
        </w:rPr>
        <w:t xml:space="preserve">по обсуждению </w:t>
      </w:r>
      <w:r w:rsidR="00757EBE" w:rsidRPr="00DB0987">
        <w:rPr>
          <w:sz w:val="28"/>
          <w:szCs w:val="28"/>
        </w:rPr>
        <w:t>исполнени</w:t>
      </w:r>
      <w:r w:rsidR="00757EBE">
        <w:rPr>
          <w:sz w:val="28"/>
          <w:szCs w:val="28"/>
        </w:rPr>
        <w:t>я</w:t>
      </w:r>
      <w:r w:rsidR="00757EBE"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 w:rsidR="00757EBE">
        <w:rPr>
          <w:sz w:val="28"/>
          <w:szCs w:val="28"/>
        </w:rPr>
        <w:t xml:space="preserve"> </w:t>
      </w:r>
      <w:r w:rsidR="00757EBE" w:rsidRPr="00DB0987">
        <w:rPr>
          <w:sz w:val="28"/>
          <w:szCs w:val="28"/>
        </w:rPr>
        <w:t xml:space="preserve"> Оренбургской области </w:t>
      </w:r>
    </w:p>
    <w:p w:rsidR="00757EBE" w:rsidRPr="00DB0987" w:rsidRDefault="00757EBE" w:rsidP="001C229D">
      <w:pPr>
        <w:ind w:left="851" w:right="423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 xml:space="preserve"> за  202</w:t>
      </w:r>
      <w:r w:rsidR="001C229D">
        <w:rPr>
          <w:sz w:val="28"/>
          <w:szCs w:val="28"/>
        </w:rPr>
        <w:t>3</w:t>
      </w:r>
      <w:r w:rsidRPr="00DB098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5800E2" w:rsidRDefault="005800E2" w:rsidP="005800E2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109"/>
        <w:gridCol w:w="310"/>
        <w:gridCol w:w="5873"/>
      </w:tblGrid>
      <w:tr w:rsidR="00BC2F15" w:rsidRPr="00AE497C" w:rsidTr="005B4B57">
        <w:tc>
          <w:tcPr>
            <w:tcW w:w="3109" w:type="dxa"/>
          </w:tcPr>
          <w:p w:rsidR="00BC2F15" w:rsidRPr="00EC1177" w:rsidRDefault="00F23B3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А.Н.</w:t>
            </w:r>
            <w:r w:rsidR="00BC2F15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</w:t>
            </w:r>
            <w:r w:rsidR="00F23B3B">
              <w:rPr>
                <w:sz w:val="28"/>
                <w:szCs w:val="28"/>
              </w:rPr>
              <w:t>муниципального образования</w:t>
            </w:r>
            <w:r w:rsidRPr="00EC1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 w:rsidR="004F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4F2C7D">
              <w:rPr>
                <w:sz w:val="28"/>
                <w:szCs w:val="28"/>
              </w:rPr>
              <w:t xml:space="preserve">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9292" w:type="dxa"/>
            <w:gridSpan w:val="3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5270F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="004F2C7D"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 w:rsidR="004F2C7D"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Л.П.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</w:tbl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BC2F15">
      <w:pgSz w:w="11906" w:h="16838"/>
      <w:pgMar w:top="425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74" w:rsidRDefault="00964274" w:rsidP="005C3F78">
      <w:r>
        <w:separator/>
      </w:r>
    </w:p>
  </w:endnote>
  <w:endnote w:type="continuationSeparator" w:id="1">
    <w:p w:rsidR="00964274" w:rsidRDefault="00964274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74" w:rsidRDefault="00964274" w:rsidP="005C3F78">
      <w:r>
        <w:separator/>
      </w:r>
    </w:p>
  </w:footnote>
  <w:footnote w:type="continuationSeparator" w:id="1">
    <w:p w:rsidR="00964274" w:rsidRDefault="00964274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095"/>
    <w:rsid w:val="00002720"/>
    <w:rsid w:val="00030179"/>
    <w:rsid w:val="00033134"/>
    <w:rsid w:val="000604DE"/>
    <w:rsid w:val="00085076"/>
    <w:rsid w:val="000969B0"/>
    <w:rsid w:val="000A7E8D"/>
    <w:rsid w:val="000B1D92"/>
    <w:rsid w:val="000B33C8"/>
    <w:rsid w:val="000C1624"/>
    <w:rsid w:val="000D2349"/>
    <w:rsid w:val="00136D6A"/>
    <w:rsid w:val="00141CBE"/>
    <w:rsid w:val="00147BCF"/>
    <w:rsid w:val="00182EAE"/>
    <w:rsid w:val="001C229D"/>
    <w:rsid w:val="001D1467"/>
    <w:rsid w:val="00200AF0"/>
    <w:rsid w:val="00201B85"/>
    <w:rsid w:val="00214FC9"/>
    <w:rsid w:val="00275646"/>
    <w:rsid w:val="00295E5D"/>
    <w:rsid w:val="002B04BF"/>
    <w:rsid w:val="002D2519"/>
    <w:rsid w:val="002D4462"/>
    <w:rsid w:val="002D6325"/>
    <w:rsid w:val="002F3AB8"/>
    <w:rsid w:val="00327989"/>
    <w:rsid w:val="00333684"/>
    <w:rsid w:val="003B22C0"/>
    <w:rsid w:val="003C2DFD"/>
    <w:rsid w:val="003E470B"/>
    <w:rsid w:val="003F40B6"/>
    <w:rsid w:val="00413BB3"/>
    <w:rsid w:val="0042092D"/>
    <w:rsid w:val="00431477"/>
    <w:rsid w:val="00457F92"/>
    <w:rsid w:val="00485555"/>
    <w:rsid w:val="004C76CF"/>
    <w:rsid w:val="004D248D"/>
    <w:rsid w:val="004E030C"/>
    <w:rsid w:val="004F2C7D"/>
    <w:rsid w:val="00517AB2"/>
    <w:rsid w:val="005270FB"/>
    <w:rsid w:val="00532C88"/>
    <w:rsid w:val="0055598C"/>
    <w:rsid w:val="00566CF2"/>
    <w:rsid w:val="00570E5E"/>
    <w:rsid w:val="005800E2"/>
    <w:rsid w:val="00584DBC"/>
    <w:rsid w:val="0058543D"/>
    <w:rsid w:val="0058748E"/>
    <w:rsid w:val="005A1260"/>
    <w:rsid w:val="005B4B57"/>
    <w:rsid w:val="005C3F78"/>
    <w:rsid w:val="005D0583"/>
    <w:rsid w:val="005E730A"/>
    <w:rsid w:val="005F01A0"/>
    <w:rsid w:val="00617A5B"/>
    <w:rsid w:val="00620C49"/>
    <w:rsid w:val="00625241"/>
    <w:rsid w:val="006357A4"/>
    <w:rsid w:val="00661B8D"/>
    <w:rsid w:val="0066497D"/>
    <w:rsid w:val="00676056"/>
    <w:rsid w:val="006774EF"/>
    <w:rsid w:val="00686732"/>
    <w:rsid w:val="006B0629"/>
    <w:rsid w:val="006B43BE"/>
    <w:rsid w:val="006D64A1"/>
    <w:rsid w:val="0070313E"/>
    <w:rsid w:val="00727399"/>
    <w:rsid w:val="007274EF"/>
    <w:rsid w:val="00742A2C"/>
    <w:rsid w:val="0075438D"/>
    <w:rsid w:val="00757C21"/>
    <w:rsid w:val="00757EBE"/>
    <w:rsid w:val="00774D40"/>
    <w:rsid w:val="007B0434"/>
    <w:rsid w:val="007E17B2"/>
    <w:rsid w:val="00801EA4"/>
    <w:rsid w:val="00810799"/>
    <w:rsid w:val="008278B0"/>
    <w:rsid w:val="008448A8"/>
    <w:rsid w:val="00846388"/>
    <w:rsid w:val="00874A95"/>
    <w:rsid w:val="00875796"/>
    <w:rsid w:val="008F797B"/>
    <w:rsid w:val="00945630"/>
    <w:rsid w:val="00964274"/>
    <w:rsid w:val="00970004"/>
    <w:rsid w:val="00986687"/>
    <w:rsid w:val="009938A7"/>
    <w:rsid w:val="00997EEF"/>
    <w:rsid w:val="009B05EB"/>
    <w:rsid w:val="009B5E7E"/>
    <w:rsid w:val="00A13DF6"/>
    <w:rsid w:val="00A162EF"/>
    <w:rsid w:val="00A27B28"/>
    <w:rsid w:val="00A44EDE"/>
    <w:rsid w:val="00A71A7A"/>
    <w:rsid w:val="00A750F9"/>
    <w:rsid w:val="00A75BCC"/>
    <w:rsid w:val="00A82275"/>
    <w:rsid w:val="00A90E51"/>
    <w:rsid w:val="00AA0DD3"/>
    <w:rsid w:val="00AA6125"/>
    <w:rsid w:val="00AB7D8B"/>
    <w:rsid w:val="00AC5D01"/>
    <w:rsid w:val="00B071A3"/>
    <w:rsid w:val="00B35D73"/>
    <w:rsid w:val="00B57696"/>
    <w:rsid w:val="00B57BDA"/>
    <w:rsid w:val="00BC2F15"/>
    <w:rsid w:val="00BD2CC0"/>
    <w:rsid w:val="00BD46B6"/>
    <w:rsid w:val="00C159C5"/>
    <w:rsid w:val="00C47C85"/>
    <w:rsid w:val="00C7204E"/>
    <w:rsid w:val="00C73A8E"/>
    <w:rsid w:val="00C91CE7"/>
    <w:rsid w:val="00CA2718"/>
    <w:rsid w:val="00CC1575"/>
    <w:rsid w:val="00D03B79"/>
    <w:rsid w:val="00D1361C"/>
    <w:rsid w:val="00D2065A"/>
    <w:rsid w:val="00D455BD"/>
    <w:rsid w:val="00D5126D"/>
    <w:rsid w:val="00D66882"/>
    <w:rsid w:val="00D76A7B"/>
    <w:rsid w:val="00D85B81"/>
    <w:rsid w:val="00DB0987"/>
    <w:rsid w:val="00E32BE4"/>
    <w:rsid w:val="00E5683C"/>
    <w:rsid w:val="00E805A1"/>
    <w:rsid w:val="00E808CA"/>
    <w:rsid w:val="00EE6E4F"/>
    <w:rsid w:val="00F0046F"/>
    <w:rsid w:val="00F030A4"/>
    <w:rsid w:val="00F23B3B"/>
    <w:rsid w:val="00F30C0C"/>
    <w:rsid w:val="00F6081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8278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278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57C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uiPriority w:val="99"/>
    <w:unhideWhenUsed/>
    <w:rsid w:val="00757C2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757C21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2A0-8C2E-4C15-BF9C-5C29655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2022-03-03T09:57:00Z</cp:lastPrinted>
  <dcterms:created xsi:type="dcterms:W3CDTF">2024-02-21T04:14:00Z</dcterms:created>
  <dcterms:modified xsi:type="dcterms:W3CDTF">2024-02-21T04:14:00Z</dcterms:modified>
</cp:coreProperties>
</file>